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仿宋_GB2312" w:hAnsi="仿宋_GB2312" w:eastAsia="仿宋_GB2312" w:cs="仿宋_GB2312"/>
          <w:color w:val="auto"/>
          <w:sz w:val="32"/>
          <w:szCs w:val="32"/>
          <w:lang w:eastAsia="zh-CN"/>
        </w:rPr>
      </w:pPr>
      <w:bookmarkStart w:id="0" w:name="_GoBack"/>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鲁人社函〔</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19号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山东省人力资源和社会保障厅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color w:val="auto"/>
          <w:sz w:val="44"/>
          <w:szCs w:val="44"/>
        </w:rPr>
        <w:t>关于优化技工院校专业设置</w:t>
      </w:r>
      <w:r>
        <w:rPr>
          <w:rFonts w:hint="eastAsia" w:ascii="方正小标宋简体" w:hAnsi="方正小标宋简体" w:eastAsia="方正小标宋简体" w:cs="方正小标宋简体"/>
          <w:color w:val="auto"/>
          <w:sz w:val="44"/>
          <w:szCs w:val="44"/>
          <w:lang w:val="en-US" w:eastAsia="zh-CN"/>
        </w:rPr>
        <w:t>及</w:t>
      </w:r>
      <w:r>
        <w:rPr>
          <w:rFonts w:hint="eastAsia" w:ascii="方正小标宋简体" w:hAnsi="方正小标宋简体" w:eastAsia="方正小标宋简体" w:cs="方正小标宋简体"/>
          <w:color w:val="auto"/>
          <w:sz w:val="44"/>
          <w:szCs w:val="44"/>
        </w:rPr>
        <w:t>流程规范的通知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ascii="仿宋_GB2312" w:hAnsi="Times New Roman" w:eastAsia="仿宋_GB2312" w:cs="仿宋_GB2312"/>
          <w:i w:val="0"/>
          <w:caps w:val="0"/>
          <w:color w:val="auto"/>
          <w:spacing w:val="0"/>
          <w:sz w:val="31"/>
          <w:szCs w:val="31"/>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color w:val="auto"/>
          <w:sz w:val="32"/>
          <w:szCs w:val="32"/>
        </w:rPr>
      </w:pPr>
      <w:r>
        <w:rPr>
          <w:rFonts w:hint="eastAsia" w:ascii="仿宋_GB2312" w:hAnsi="Times New Roman" w:eastAsia="仿宋_GB2312" w:cs="仿宋_GB2312"/>
          <w:i w:val="0"/>
          <w:caps w:val="0"/>
          <w:color w:val="auto"/>
          <w:spacing w:val="0"/>
          <w:sz w:val="32"/>
          <w:szCs w:val="32"/>
          <w:shd w:val="clear" w:fill="FFFFFF"/>
          <w:lang w:val="en-US" w:eastAsia="zh-CN"/>
        </w:rPr>
        <w:t>各市人力资源社会保障局，各省属技工院校</w:t>
      </w:r>
      <w:r>
        <w:rPr>
          <w:rFonts w:hint="eastAsia" w:ascii="仿宋_GB2312" w:hAnsi="Times New Roman" w:eastAsia="仿宋_GB2312" w:cs="仿宋_GB2312"/>
          <w:i w:val="0"/>
          <w:caps w:val="0"/>
          <w:color w:val="auto"/>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为推进我省技工教育专业结构优化调整，适应市场变化和产业发展需求，</w:t>
      </w:r>
      <w:r>
        <w:rPr>
          <w:rFonts w:hint="eastAsia" w:ascii="仿宋_GB2312" w:hAnsi="仿宋_GB2312" w:eastAsia="仿宋_GB2312" w:cs="仿宋_GB2312"/>
          <w:color w:val="auto"/>
          <w:sz w:val="32"/>
          <w:szCs w:val="32"/>
        </w:rPr>
        <w:t>促进技工教育人才培养与现代产业人才需求高效匹配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更好服务全省技能人才队伍建设，根据《人力资源社会保障部 国家发展改革委 财政部关于深化技工院校改革大力发展技工教育的意见》</w:t>
      </w:r>
      <w:r>
        <w:rPr>
          <w:rFonts w:hint="eastAsia" w:ascii="仿宋_GB2312" w:hAnsi="仿宋_GB2312" w:eastAsia="仿宋_GB2312" w:cs="仿宋_GB2312"/>
          <w:color w:val="auto"/>
          <w:kern w:val="2"/>
          <w:sz w:val="32"/>
          <w:szCs w:val="32"/>
          <w:lang w:val="en-US" w:eastAsia="zh" w:bidi="ar-SA"/>
        </w:rPr>
        <w:t>（人社部发〔2021〕30号）</w:t>
      </w:r>
      <w:r>
        <w:rPr>
          <w:rFonts w:hint="eastAsia" w:ascii="仿宋_GB2312" w:hAnsi="仿宋_GB2312" w:eastAsia="仿宋_GB2312" w:cs="仿宋_GB2312"/>
          <w:color w:val="auto"/>
          <w:kern w:val="2"/>
          <w:sz w:val="32"/>
          <w:szCs w:val="32"/>
          <w:lang w:val="en-US" w:eastAsia="zh-CN" w:bidi="ar-SA"/>
        </w:rPr>
        <w:t>等文件精神，现就做好优化技工院校专业设置及流程规范等工作通知如下：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一、工作要求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仿宋_GB2312" w:hAnsi="仿宋_GB2312" w:eastAsia="仿宋_GB2312" w:cs="仿宋_GB2312"/>
          <w:b w:val="0"/>
          <w:color w:val="auto"/>
          <w:kern w:val="2"/>
          <w:sz w:val="32"/>
          <w:szCs w:val="32"/>
          <w:lang w:val="en-US" w:eastAsia="zh-CN" w:bidi="ar-SA"/>
        </w:rPr>
      </w:pPr>
      <w:r>
        <w:rPr>
          <w:rFonts w:hint="eastAsia" w:ascii="楷体_GB2312" w:hAnsi="楷体_GB2312" w:eastAsia="楷体_GB2312" w:cs="楷体_GB2312"/>
          <w:b w:val="0"/>
          <w:i w:val="0"/>
          <w:caps w:val="0"/>
          <w:color w:val="auto"/>
          <w:spacing w:val="0"/>
          <w:sz w:val="32"/>
          <w:szCs w:val="32"/>
          <w:shd w:val="clear" w:fill="FFFFFF"/>
        </w:rPr>
        <w:t>（一）要主动对接重大战略性产业发展需求。</w:t>
      </w:r>
      <w:r>
        <w:rPr>
          <w:rFonts w:hint="eastAsia" w:ascii="仿宋_GB2312" w:hAnsi="仿宋_GB2312" w:eastAsia="仿宋_GB2312" w:cs="仿宋_GB2312"/>
          <w:b w:val="0"/>
          <w:color w:val="auto"/>
          <w:kern w:val="2"/>
          <w:sz w:val="32"/>
          <w:szCs w:val="32"/>
          <w:lang w:val="en-US" w:eastAsia="zh-CN" w:bidi="ar-SA"/>
        </w:rPr>
        <w:t>各技工院校要紧跟产业升级和技术变革趋势，重点围绕新一代信息技术、高端装备、新材料、新能源、节能环保、数字创意，以及数字安防、生命健康、人工智能等战略性新兴产业和前瞻性领域，以服务传统产业数字化转型为目标，提升现代产业全产业链水平，建立校地联动专业设置机制，推动产教一体化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i w:val="0"/>
          <w:caps w:val="0"/>
          <w:color w:val="auto"/>
          <w:spacing w:val="0"/>
          <w:sz w:val="32"/>
          <w:szCs w:val="32"/>
          <w:shd w:val="clear" w:fill="FFFFFF"/>
        </w:rPr>
        <w:t>（</w:t>
      </w:r>
      <w:r>
        <w:rPr>
          <w:rFonts w:hint="eastAsia" w:ascii="楷体_GB2312" w:hAnsi="楷体_GB2312" w:eastAsia="楷体_GB2312" w:cs="楷体_GB2312"/>
          <w:i w:val="0"/>
          <w:caps w:val="0"/>
          <w:color w:val="auto"/>
          <w:spacing w:val="0"/>
          <w:sz w:val="32"/>
          <w:szCs w:val="32"/>
          <w:shd w:val="clear" w:fill="FFFFFF"/>
          <w:lang w:val="en-US" w:eastAsia="zh-CN"/>
        </w:rPr>
        <w:t>二</w:t>
      </w:r>
      <w:r>
        <w:rPr>
          <w:rFonts w:hint="eastAsia" w:ascii="楷体_GB2312" w:hAnsi="楷体_GB2312" w:eastAsia="楷体_GB2312" w:cs="楷体_GB2312"/>
          <w:i w:val="0"/>
          <w:caps w:val="0"/>
          <w:color w:val="auto"/>
          <w:spacing w:val="0"/>
          <w:sz w:val="32"/>
          <w:szCs w:val="32"/>
          <w:shd w:val="clear" w:fill="FFFFFF"/>
        </w:rPr>
        <w:t>）要加</w:t>
      </w:r>
      <w:r>
        <w:rPr>
          <w:rFonts w:hint="eastAsia" w:ascii="楷体_GB2312" w:hAnsi="楷体_GB2312" w:eastAsia="楷体_GB2312" w:cs="楷体_GB2312"/>
          <w:i w:val="0"/>
          <w:caps w:val="0"/>
          <w:color w:val="auto"/>
          <w:spacing w:val="0"/>
          <w:sz w:val="32"/>
          <w:szCs w:val="32"/>
          <w:shd w:val="clear" w:fill="FFFFFF"/>
          <w:lang w:eastAsia="zh-CN"/>
        </w:rPr>
        <w:t>快</w:t>
      </w:r>
      <w:r>
        <w:rPr>
          <w:rFonts w:hint="eastAsia" w:ascii="楷体_GB2312" w:hAnsi="楷体_GB2312" w:eastAsia="楷体_GB2312" w:cs="楷体_GB2312"/>
          <w:i w:val="0"/>
          <w:caps w:val="0"/>
          <w:color w:val="auto"/>
          <w:spacing w:val="0"/>
          <w:sz w:val="32"/>
          <w:szCs w:val="32"/>
          <w:shd w:val="clear" w:fill="FFFFFF"/>
        </w:rPr>
        <w:t>建设紧缺职业相关专业。</w:t>
      </w:r>
      <w:r>
        <w:rPr>
          <w:rFonts w:hint="eastAsia" w:ascii="仿宋_GB2312" w:hAnsi="仿宋_GB2312" w:eastAsia="仿宋_GB2312" w:cs="仿宋_GB2312"/>
          <w:color w:val="auto"/>
          <w:kern w:val="2"/>
          <w:sz w:val="32"/>
          <w:szCs w:val="32"/>
          <w:lang w:val="en-US" w:eastAsia="zh-CN" w:bidi="ar-SA"/>
        </w:rPr>
        <w:t>各技工院校要积极对接行业企业发</w:t>
      </w:r>
      <w:r>
        <w:rPr>
          <w:rFonts w:hint="eastAsia" w:ascii="仿宋_GB2312" w:hAnsi="仿宋_GB2312" w:eastAsia="仿宋_GB2312" w:cs="仿宋_GB2312"/>
          <w:color w:val="auto"/>
          <w:kern w:val="2"/>
          <w:sz w:val="32"/>
          <w:szCs w:val="32"/>
          <w:highlight w:val="none"/>
          <w:lang w:val="en-US" w:eastAsia="zh-CN" w:bidi="ar-SA"/>
        </w:rPr>
        <w:t>展紧缺的“高精尖”岗位技能人才需求，</w:t>
      </w:r>
      <w:r>
        <w:rPr>
          <w:rFonts w:hint="eastAsia" w:ascii="仿宋_GB2312" w:hAnsi="仿宋_GB2312" w:eastAsia="仿宋_GB2312" w:cs="仿宋_GB2312"/>
          <w:color w:val="auto"/>
          <w:kern w:val="2"/>
          <w:sz w:val="32"/>
          <w:szCs w:val="32"/>
          <w:lang w:val="en-US" w:eastAsia="zh-CN" w:bidi="ar-SA"/>
        </w:rPr>
        <w:t>加快建设与经济社会发展、人民生活密切相关的健康服务、社会照护、老年护理等社会需求量较大的专业；积极发展服务乡村振兴的农村能源开发利用、农业机械、农艺技术、农产品保鲜加工等涉农专业。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i w:val="0"/>
          <w:caps w:val="0"/>
          <w:color w:val="auto"/>
          <w:spacing w:val="0"/>
          <w:sz w:val="32"/>
          <w:szCs w:val="32"/>
          <w:shd w:val="clear" w:fill="FFFFFF"/>
        </w:rPr>
        <w:t>（</w:t>
      </w:r>
      <w:r>
        <w:rPr>
          <w:rFonts w:hint="eastAsia" w:ascii="楷体_GB2312" w:hAnsi="楷体_GB2312" w:eastAsia="楷体_GB2312" w:cs="楷体_GB2312"/>
          <w:i w:val="0"/>
          <w:caps w:val="0"/>
          <w:color w:val="auto"/>
          <w:spacing w:val="0"/>
          <w:sz w:val="32"/>
          <w:szCs w:val="32"/>
          <w:shd w:val="clear" w:fill="FFFFFF"/>
          <w:lang w:val="en-US" w:eastAsia="zh-CN"/>
        </w:rPr>
        <w:t>三</w:t>
      </w:r>
      <w:r>
        <w:rPr>
          <w:rFonts w:hint="eastAsia" w:ascii="楷体_GB2312" w:hAnsi="楷体_GB2312" w:eastAsia="楷体_GB2312" w:cs="楷体_GB2312"/>
          <w:i w:val="0"/>
          <w:caps w:val="0"/>
          <w:color w:val="auto"/>
          <w:spacing w:val="0"/>
          <w:sz w:val="32"/>
          <w:szCs w:val="32"/>
          <w:shd w:val="clear" w:fill="FFFFFF"/>
        </w:rPr>
        <w:t>）要控制技能含量较低专业。</w:t>
      </w:r>
      <w:r>
        <w:rPr>
          <w:rFonts w:hint="eastAsia" w:ascii="仿宋_GB2312" w:hAnsi="仿宋_GB2312" w:eastAsia="仿宋_GB2312" w:cs="仿宋_GB2312"/>
          <w:color w:val="auto"/>
          <w:kern w:val="2"/>
          <w:sz w:val="32"/>
          <w:szCs w:val="32"/>
          <w:lang w:val="en-US" w:eastAsia="zh-CN" w:bidi="ar-SA"/>
        </w:rPr>
        <w:t>各技工院校要减少对口就业率低、专业满意度不高、短期培训速成类的专业设置，迭代升级电子商务、市场营销等专业，提升专业技能含量。调减非技工教育优势的文科类专业，增强专业技能类专业设置，体现技工教育特色。</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color w:val="auto"/>
          <w:sz w:val="32"/>
          <w:szCs w:val="32"/>
        </w:rPr>
      </w:pPr>
      <w:r>
        <w:rPr>
          <w:rFonts w:hint="eastAsia" w:ascii="楷体_GB2312" w:hAnsi="楷体_GB2312" w:eastAsia="楷体_GB2312" w:cs="楷体_GB2312"/>
          <w:i w:val="0"/>
          <w:caps w:val="0"/>
          <w:color w:val="auto"/>
          <w:spacing w:val="0"/>
          <w:sz w:val="32"/>
          <w:szCs w:val="32"/>
          <w:shd w:val="clear" w:fill="FFFFFF"/>
        </w:rPr>
        <w:t>（</w:t>
      </w:r>
      <w:r>
        <w:rPr>
          <w:rFonts w:hint="eastAsia" w:ascii="楷体_GB2312" w:hAnsi="楷体_GB2312" w:eastAsia="楷体_GB2312" w:cs="楷体_GB2312"/>
          <w:i w:val="0"/>
          <w:caps w:val="0"/>
          <w:color w:val="auto"/>
          <w:spacing w:val="0"/>
          <w:sz w:val="32"/>
          <w:szCs w:val="32"/>
          <w:shd w:val="clear" w:fill="FFFFFF"/>
          <w:lang w:val="en-US" w:eastAsia="zh-CN"/>
        </w:rPr>
        <w:t>四</w:t>
      </w:r>
      <w:r>
        <w:rPr>
          <w:rFonts w:hint="eastAsia" w:ascii="楷体_GB2312" w:hAnsi="楷体_GB2312" w:eastAsia="楷体_GB2312" w:cs="楷体_GB2312"/>
          <w:i w:val="0"/>
          <w:caps w:val="0"/>
          <w:color w:val="auto"/>
          <w:spacing w:val="0"/>
          <w:sz w:val="32"/>
          <w:szCs w:val="32"/>
          <w:shd w:val="clear" w:fill="FFFFFF"/>
        </w:rPr>
        <w:t>）要加强传统专业数字化升级改造。</w:t>
      </w:r>
      <w:r>
        <w:rPr>
          <w:rFonts w:hint="eastAsia" w:ascii="仿宋_GB2312" w:hAnsi="仿宋_GB2312" w:eastAsia="仿宋_GB2312" w:cs="仿宋_GB2312"/>
          <w:color w:val="auto"/>
          <w:kern w:val="2"/>
          <w:sz w:val="32"/>
          <w:szCs w:val="32"/>
          <w:lang w:val="en-US" w:eastAsia="zh-CN" w:bidi="ar-SA"/>
        </w:rPr>
        <w:t>各技工院校要面向新质生产力发展、产业数字化新要求，结合工学一体化技能人才培养模式改革，注重机械、电工电子、交通等传统专业的数字化建设，建立适应数字化新职业场景新岗位要求的专业技能人才培养方案，完善数字化、智能化、绿色化专业人才培养目标，提升人才复合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
        </w:rPr>
        <w:t>二</w:t>
      </w:r>
      <w:r>
        <w:rPr>
          <w:rFonts w:hint="eastAsia" w:ascii="黑体" w:hAnsi="黑体" w:eastAsia="黑体" w:cs="黑体"/>
          <w:i w:val="0"/>
          <w:caps w:val="0"/>
          <w:color w:val="auto"/>
          <w:spacing w:val="0"/>
          <w:sz w:val="32"/>
          <w:szCs w:val="32"/>
          <w:shd w:val="clear" w:fill="FFFFFF"/>
          <w:lang w:val="en-US" w:eastAsia="zh-CN"/>
        </w:rPr>
        <w:t>、专业设置基本条件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（一）应与</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领域产教融合型企业等优质企业建立稳定合作关系。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有数量充足的专、兼职师资队伍。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（三）有稳定的、数量</w:t>
      </w:r>
      <w:r>
        <w:rPr>
          <w:rFonts w:hint="eastAsia" w:ascii="仿宋_GB2312" w:hAnsi="仿宋_GB2312" w:eastAsia="仿宋_GB2312" w:cs="仿宋_GB2312"/>
          <w:color w:val="auto"/>
          <w:sz w:val="32"/>
          <w:szCs w:val="32"/>
          <w:lang w:eastAsia="zh-CN"/>
        </w:rPr>
        <w:t>充足</w:t>
      </w:r>
      <w:r>
        <w:rPr>
          <w:rFonts w:hint="eastAsia" w:ascii="仿宋_GB2312" w:hAnsi="仿宋_GB2312" w:eastAsia="仿宋_GB2312" w:cs="仿宋_GB2312"/>
          <w:color w:val="auto"/>
          <w:sz w:val="32"/>
          <w:szCs w:val="32"/>
        </w:rPr>
        <w:t>的实训基地，满足师生实习实训（培训）需求。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有稳定的、可持续使用的专业建设经费并逐年增长。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今后，教学质量评估</w:t>
      </w:r>
      <w:r>
        <w:rPr>
          <w:rFonts w:hint="eastAsia" w:ascii="仿宋_GB2312" w:hAnsi="仿宋_GB2312" w:eastAsia="仿宋_GB2312" w:cs="仿宋_GB2312"/>
          <w:color w:val="auto"/>
          <w:sz w:val="32"/>
          <w:szCs w:val="32"/>
        </w:rPr>
        <w:t>结果为不</w:t>
      </w:r>
      <w:r>
        <w:rPr>
          <w:rFonts w:hint="eastAsia" w:ascii="仿宋_GB2312" w:hAnsi="仿宋_GB2312" w:eastAsia="仿宋_GB2312" w:cs="仿宋_GB2312"/>
          <w:color w:val="auto"/>
          <w:sz w:val="32"/>
          <w:szCs w:val="32"/>
          <w:lang w:val="en-US" w:eastAsia="zh-CN"/>
        </w:rPr>
        <w:t>合格</w:t>
      </w:r>
      <w:r>
        <w:rPr>
          <w:rFonts w:hint="eastAsia" w:ascii="仿宋_GB2312" w:hAnsi="仿宋_GB2312" w:eastAsia="仿宋_GB2312" w:cs="仿宋_GB2312"/>
          <w:color w:val="auto"/>
          <w:sz w:val="32"/>
          <w:szCs w:val="32"/>
        </w:rPr>
        <w:t>的，以及基本办学条件指标不达标的</w:t>
      </w:r>
      <w:r>
        <w:rPr>
          <w:rFonts w:hint="eastAsia" w:ascii="仿宋_GB2312" w:hAnsi="仿宋_GB2312" w:eastAsia="仿宋_GB2312" w:cs="仿宋_GB2312"/>
          <w:color w:val="auto"/>
          <w:sz w:val="32"/>
          <w:szCs w:val="32"/>
          <w:lang w:eastAsia="zh-CN"/>
        </w:rPr>
        <w:t>技工院校</w:t>
      </w:r>
      <w:r>
        <w:rPr>
          <w:rFonts w:hint="eastAsia" w:ascii="仿宋_GB2312" w:hAnsi="仿宋_GB2312" w:eastAsia="仿宋_GB2312" w:cs="仿宋_GB2312"/>
          <w:color w:val="auto"/>
          <w:sz w:val="32"/>
          <w:szCs w:val="32"/>
        </w:rPr>
        <w:t>，在未完成整改前，暂停</w:t>
      </w:r>
      <w:r>
        <w:rPr>
          <w:rFonts w:hint="eastAsia" w:ascii="仿宋_GB2312" w:hAnsi="仿宋_GB2312" w:eastAsia="仿宋_GB2312" w:cs="仿宋_GB2312"/>
          <w:color w:val="auto"/>
          <w:sz w:val="32"/>
          <w:szCs w:val="32"/>
          <w:lang w:eastAsia="zh-CN"/>
        </w:rPr>
        <w:t>受理其</w:t>
      </w:r>
      <w:r>
        <w:rPr>
          <w:rFonts w:hint="eastAsia" w:ascii="仿宋_GB2312" w:hAnsi="仿宋_GB2312" w:eastAsia="仿宋_GB2312" w:cs="仿宋_GB2312"/>
          <w:color w:val="auto"/>
          <w:sz w:val="32"/>
          <w:szCs w:val="32"/>
        </w:rPr>
        <w:t>增设专业</w:t>
      </w:r>
      <w:r>
        <w:rPr>
          <w:rFonts w:hint="eastAsia" w:ascii="仿宋_GB2312" w:hAnsi="仿宋_GB2312" w:eastAsia="仿宋_GB2312" w:cs="仿宋_GB2312"/>
          <w:color w:val="auto"/>
          <w:sz w:val="32"/>
          <w:szCs w:val="32"/>
          <w:lang w:eastAsia="zh-CN"/>
        </w:rPr>
        <w:t>的申请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
        </w:rPr>
        <w:t>三</w:t>
      </w:r>
      <w:r>
        <w:rPr>
          <w:rFonts w:hint="eastAsia" w:ascii="黑体" w:hAnsi="黑体" w:eastAsia="黑体" w:cs="黑体"/>
          <w:i w:val="0"/>
          <w:caps w:val="0"/>
          <w:color w:val="auto"/>
          <w:spacing w:val="0"/>
          <w:sz w:val="32"/>
          <w:szCs w:val="32"/>
          <w:shd w:val="clear" w:fill="FFFFFF"/>
          <w:lang w:val="en-US" w:eastAsia="zh-CN"/>
        </w:rPr>
        <w:t>、专业设置程序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eastAsia="zh-CN"/>
        </w:rPr>
        <w:t>（</w:t>
      </w:r>
      <w:r>
        <w:rPr>
          <w:rFonts w:hint="eastAsia" w:ascii="楷体_GB2312" w:hAnsi="楷体_GB2312" w:eastAsia="楷体_GB2312" w:cs="楷体_GB2312"/>
          <w:i w:val="0"/>
          <w:caps w:val="0"/>
          <w:color w:val="auto"/>
          <w:spacing w:val="0"/>
          <w:sz w:val="32"/>
          <w:szCs w:val="32"/>
          <w:shd w:val="clear" w:fill="FFFFFF"/>
          <w:lang w:val="en-US" w:eastAsia="zh-CN"/>
        </w:rPr>
        <w:t>一</w:t>
      </w:r>
      <w:r>
        <w:rPr>
          <w:rFonts w:hint="eastAsia" w:ascii="楷体_GB2312" w:hAnsi="楷体_GB2312" w:eastAsia="楷体_GB2312" w:cs="楷体_GB2312"/>
          <w:i w:val="0"/>
          <w:caps w:val="0"/>
          <w:color w:val="auto"/>
          <w:spacing w:val="0"/>
          <w:sz w:val="32"/>
          <w:szCs w:val="32"/>
          <w:shd w:val="clear" w:fill="FFFFFF"/>
          <w:lang w:eastAsia="zh-CN"/>
        </w:rPr>
        <w:t>）</w:t>
      </w:r>
      <w:r>
        <w:rPr>
          <w:rFonts w:hint="eastAsia" w:ascii="楷体_GB2312" w:hAnsi="楷体_GB2312" w:eastAsia="楷体_GB2312" w:cs="楷体_GB2312"/>
          <w:i w:val="0"/>
          <w:caps w:val="0"/>
          <w:color w:val="auto"/>
          <w:spacing w:val="0"/>
          <w:sz w:val="32"/>
          <w:szCs w:val="32"/>
          <w:shd w:val="clear" w:fill="FFFFFF"/>
          <w:lang w:val="en-US" w:eastAsia="zh-CN"/>
        </w:rPr>
        <w:t>设置预警专业目录。</w:t>
      </w:r>
      <w:r>
        <w:rPr>
          <w:rFonts w:hint="eastAsia" w:ascii="仿宋_GB2312" w:hAnsi="Calibri" w:eastAsia="仿宋_GB2312" w:cs="仿宋_GB2312"/>
          <w:i w:val="0"/>
          <w:iCs w:val="0"/>
          <w:caps w:val="0"/>
          <w:color w:val="auto"/>
          <w:spacing w:val="0"/>
          <w:kern w:val="2"/>
          <w:sz w:val="32"/>
          <w:szCs w:val="32"/>
          <w:shd w:val="clear" w:fill="FFFFFF"/>
          <w:lang w:val="en-US" w:eastAsia="zh-CN" w:bidi="ar"/>
        </w:rPr>
        <w:t>为调控、引导技工院校专业设置，我们研究编制了《山东省技工院校预警专业目录（2025版）》</w:t>
      </w:r>
      <w:r>
        <w:rPr>
          <w:rFonts w:hint="eastAsia" w:ascii="楷体_GB2312" w:hAnsi="Calibri" w:eastAsia="楷体_GB2312" w:cs="楷体_GB2312"/>
          <w:i w:val="0"/>
          <w:iCs w:val="0"/>
          <w:caps w:val="0"/>
          <w:color w:val="auto"/>
          <w:spacing w:val="0"/>
          <w:kern w:val="2"/>
          <w:sz w:val="32"/>
          <w:szCs w:val="32"/>
          <w:shd w:val="clear" w:fill="FFFFFF"/>
          <w:lang w:val="en-US" w:eastAsia="zh-CN" w:bidi="ar"/>
        </w:rPr>
        <w:t>，</w:t>
      </w:r>
      <w:r>
        <w:rPr>
          <w:rFonts w:hint="eastAsia" w:ascii="仿宋_GB2312" w:hAnsi="仿宋_GB2312" w:eastAsia="仿宋_GB2312" w:cs="仿宋_GB2312"/>
          <w:i w:val="0"/>
          <w:caps w:val="0"/>
          <w:color w:val="auto"/>
          <w:spacing w:val="0"/>
          <w:sz w:val="32"/>
          <w:szCs w:val="32"/>
          <w:shd w:val="clear" w:fill="FFFFFF"/>
          <w:lang w:val="en-US" w:eastAsia="zh-CN"/>
        </w:rPr>
        <w:t>对市场饱和度高、对口就业率低、技能特色不鲜明、院校专业设置重复度高的专业，纳入预警专业目录</w:t>
      </w:r>
      <w:r>
        <w:rPr>
          <w:rFonts w:hint="eastAsia" w:ascii="仿宋_GB2312" w:hAnsi="Calibri" w:eastAsia="仿宋_GB2312" w:cs="仿宋_GB2312"/>
          <w:i w:val="0"/>
          <w:iCs w:val="0"/>
          <w:caps w:val="0"/>
          <w:color w:val="auto"/>
          <w:spacing w:val="0"/>
          <w:kern w:val="2"/>
          <w:sz w:val="32"/>
          <w:szCs w:val="32"/>
          <w:shd w:val="clear" w:fill="FFFFFF"/>
          <w:lang w:val="en-US" w:eastAsia="zh-CN" w:bidi="ar"/>
        </w:rPr>
        <w:t>，并根据产业需求及院校招生情况变化进行</w:t>
      </w:r>
      <w:r>
        <w:rPr>
          <w:rFonts w:hint="eastAsia" w:ascii="仿宋_GB2312" w:hAnsi="Calibri" w:eastAsia="仿宋_GB2312" w:cs="仿宋_GB2312"/>
          <w:i w:val="0"/>
          <w:iCs w:val="0"/>
          <w:caps w:val="0"/>
          <w:color w:val="auto"/>
          <w:spacing w:val="0"/>
          <w:kern w:val="2"/>
          <w:sz w:val="32"/>
          <w:szCs w:val="32"/>
          <w:shd w:val="clear" w:fill="FFFFFF"/>
          <w:lang w:val="en-US" w:eastAsia="zh" w:bidi="ar"/>
        </w:rPr>
        <w:t>动态</w:t>
      </w:r>
      <w:r>
        <w:rPr>
          <w:rFonts w:hint="eastAsia" w:ascii="仿宋_GB2312" w:hAnsi="Calibri" w:eastAsia="仿宋_GB2312" w:cs="仿宋_GB2312"/>
          <w:i w:val="0"/>
          <w:iCs w:val="0"/>
          <w:caps w:val="0"/>
          <w:color w:val="auto"/>
          <w:spacing w:val="0"/>
          <w:kern w:val="2"/>
          <w:sz w:val="32"/>
          <w:szCs w:val="32"/>
          <w:shd w:val="clear" w:fill="FFFFFF"/>
          <w:lang w:val="en-US" w:eastAsia="zh-CN" w:bidi="ar"/>
        </w:rPr>
        <w:t>调整。预警目录内专业</w:t>
      </w:r>
      <w:r>
        <w:rPr>
          <w:rFonts w:hint="eastAsia" w:ascii="仿宋_GB2312" w:hAnsi="仿宋_GB2312" w:eastAsia="仿宋_GB2312" w:cs="仿宋_GB2312"/>
          <w:i w:val="0"/>
          <w:caps w:val="0"/>
          <w:color w:val="auto"/>
          <w:spacing w:val="0"/>
          <w:sz w:val="32"/>
          <w:szCs w:val="32"/>
          <w:shd w:val="clear" w:fill="FFFFFF"/>
          <w:lang w:val="en-US" w:eastAsia="zh-CN"/>
        </w:rPr>
        <w:t>，原则上不再批准新增</w:t>
      </w:r>
      <w:r>
        <w:rPr>
          <w:rFonts w:hint="eastAsia" w:ascii="仿宋_GB2312" w:hAnsi="仿宋_GB2312" w:eastAsia="仿宋_GB2312" w:cs="仿宋_GB2312"/>
          <w:i w:val="0"/>
          <w:caps w:val="0"/>
          <w:color w:val="auto"/>
          <w:spacing w:val="0"/>
          <w:sz w:val="32"/>
          <w:szCs w:val="32"/>
          <w:shd w:val="clear" w:fill="FFFFFF"/>
          <w:lang w:val="en-US" w:eastAsia="zh"/>
        </w:rPr>
        <w:t>开设</w:t>
      </w:r>
      <w:r>
        <w:rPr>
          <w:rFonts w:hint="eastAsia" w:ascii="仿宋_GB2312" w:hAnsi="仿宋_GB2312" w:eastAsia="仿宋_GB2312" w:cs="仿宋_GB2312"/>
          <w:i w:val="0"/>
          <w:caps w:val="0"/>
          <w:color w:val="auto"/>
          <w:spacing w:val="0"/>
          <w:sz w:val="32"/>
          <w:szCs w:val="32"/>
          <w:shd w:val="clear" w:fill="FFFFFF"/>
          <w:lang w:val="en-US" w:eastAsia="zh-CN"/>
        </w:rPr>
        <w:t>。已开设相关专业的学校，要控制招生规模，原则上每季招生不超过1个班。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楷体_GB2312" w:hAnsi="楷体_GB2312" w:eastAsia="楷体_GB2312" w:cs="楷体_GB2312"/>
          <w:i w:val="0"/>
          <w:caps w:val="0"/>
          <w:color w:val="auto"/>
          <w:spacing w:val="0"/>
          <w:sz w:val="32"/>
          <w:szCs w:val="32"/>
          <w:shd w:val="clear" w:fill="FFFFFF"/>
          <w:lang w:val="en-US" w:eastAsia="zh-CN"/>
        </w:rPr>
        <w:t xml:space="preserve">    </w:t>
      </w:r>
      <w:r>
        <w:rPr>
          <w:rFonts w:hint="eastAsia" w:ascii="楷体_GB2312" w:hAnsi="楷体_GB2312" w:eastAsia="楷体_GB2312" w:cs="楷体_GB2312"/>
          <w:i w:val="0"/>
          <w:caps w:val="0"/>
          <w:color w:val="auto"/>
          <w:spacing w:val="0"/>
          <w:sz w:val="32"/>
          <w:szCs w:val="32"/>
          <w:shd w:val="clear" w:fill="FFFFFF"/>
        </w:rPr>
        <w:t>（</w:t>
      </w:r>
      <w:r>
        <w:rPr>
          <w:rFonts w:hint="eastAsia" w:ascii="楷体_GB2312" w:hAnsi="楷体_GB2312" w:eastAsia="楷体_GB2312" w:cs="楷体_GB2312"/>
          <w:i w:val="0"/>
          <w:caps w:val="0"/>
          <w:color w:val="auto"/>
          <w:spacing w:val="0"/>
          <w:sz w:val="32"/>
          <w:szCs w:val="32"/>
          <w:shd w:val="clear" w:fill="FFFFFF"/>
          <w:lang w:val="en-US" w:eastAsia="zh-CN"/>
        </w:rPr>
        <w:t>二</w:t>
      </w:r>
      <w:r>
        <w:rPr>
          <w:rFonts w:hint="eastAsia" w:ascii="楷体_GB2312" w:hAnsi="楷体_GB2312" w:eastAsia="楷体_GB2312" w:cs="楷体_GB2312"/>
          <w:i w:val="0"/>
          <w:caps w:val="0"/>
          <w:color w:val="auto"/>
          <w:spacing w:val="0"/>
          <w:sz w:val="32"/>
          <w:szCs w:val="32"/>
          <w:shd w:val="clear" w:fill="FFFFFF"/>
        </w:rPr>
        <w:t>）专业备案管理。</w:t>
      </w:r>
      <w:r>
        <w:rPr>
          <w:rFonts w:hint="eastAsia" w:ascii="仿宋_GB2312" w:hAnsi="仿宋_GB2312" w:eastAsia="仿宋_GB2312" w:cs="仿宋_GB2312"/>
          <w:i w:val="0"/>
          <w:caps w:val="0"/>
          <w:color w:val="auto"/>
          <w:spacing w:val="0"/>
          <w:sz w:val="32"/>
          <w:szCs w:val="32"/>
          <w:shd w:val="clear" w:fill="FFFFFF"/>
        </w:rPr>
        <w:t>依据《</w:t>
      </w:r>
      <w:r>
        <w:rPr>
          <w:rFonts w:hint="eastAsia" w:ascii="仿宋_GB2312" w:hAnsi="仿宋_GB2312" w:eastAsia="仿宋_GB2312" w:cs="仿宋_GB2312"/>
          <w:i w:val="0"/>
          <w:caps w:val="0"/>
          <w:color w:val="auto"/>
          <w:spacing w:val="0"/>
          <w:sz w:val="32"/>
          <w:szCs w:val="32"/>
          <w:shd w:val="clear" w:fill="FFFFFF"/>
          <w:lang w:val="en-US" w:eastAsia="zh-CN"/>
        </w:rPr>
        <w:t>全国技工院校专业</w:t>
      </w:r>
      <w:r>
        <w:rPr>
          <w:rFonts w:hint="eastAsia" w:ascii="仿宋_GB2312" w:hAnsi="仿宋_GB2312" w:eastAsia="仿宋_GB2312" w:cs="仿宋_GB2312"/>
          <w:i w:val="0"/>
          <w:caps w:val="0"/>
          <w:color w:val="auto"/>
          <w:spacing w:val="0"/>
          <w:sz w:val="32"/>
          <w:szCs w:val="32"/>
          <w:shd w:val="clear" w:fill="FFFFFF"/>
        </w:rPr>
        <w:t>目录》</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各技工院校可</w:t>
      </w:r>
      <w:r>
        <w:rPr>
          <w:rFonts w:hint="eastAsia" w:ascii="仿宋_GB2312" w:hAnsi="仿宋_GB2312" w:eastAsia="仿宋_GB2312" w:cs="仿宋_GB2312"/>
          <w:i w:val="0"/>
          <w:caps w:val="0"/>
          <w:color w:val="auto"/>
          <w:spacing w:val="0"/>
          <w:sz w:val="32"/>
          <w:szCs w:val="32"/>
          <w:shd w:val="clear" w:fill="FFFFFF"/>
        </w:rPr>
        <w:t>自主开设、调整和停办专业。各技工院校新设专业情况要在研究确定后20日内，</w:t>
      </w:r>
      <w:r>
        <w:rPr>
          <w:rFonts w:hint="eastAsia" w:ascii="仿宋_GB2312" w:hAnsi="仿宋_GB2312" w:eastAsia="仿宋_GB2312" w:cs="仿宋_GB2312"/>
          <w:i w:val="0"/>
          <w:caps w:val="0"/>
          <w:color w:val="auto"/>
          <w:spacing w:val="0"/>
          <w:sz w:val="32"/>
          <w:szCs w:val="32"/>
          <w:shd w:val="clear" w:fill="FFFFFF"/>
          <w:lang w:eastAsia="zh-CN"/>
        </w:rPr>
        <w:t>根据隶属关系，</w:t>
      </w:r>
      <w:r>
        <w:rPr>
          <w:rFonts w:hint="eastAsia" w:ascii="仿宋_GB2312" w:hAnsi="仿宋_GB2312" w:eastAsia="仿宋_GB2312" w:cs="仿宋_GB2312"/>
          <w:i w:val="0"/>
          <w:caps w:val="0"/>
          <w:color w:val="auto"/>
          <w:spacing w:val="0"/>
          <w:sz w:val="32"/>
          <w:szCs w:val="32"/>
          <w:shd w:val="clear" w:fill="FFFFFF"/>
        </w:rPr>
        <w:t>向人力资源社会保障部门备案，其中，新开设全日制预备技师班专业应向省人力资源社会保障厅备案，新开设全日制中、高级技工班专业应向所在设区的市人力资源社会保障局备案。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 xml:space="preserve">    </w:t>
      </w:r>
      <w:r>
        <w:rPr>
          <w:rFonts w:hint="eastAsia" w:ascii="楷体_GB2312" w:hAnsi="楷体_GB2312" w:eastAsia="楷体_GB2312" w:cs="楷体_GB2312"/>
          <w:i w:val="0"/>
          <w:caps w:val="0"/>
          <w:color w:val="auto"/>
          <w:spacing w:val="0"/>
          <w:sz w:val="32"/>
          <w:szCs w:val="32"/>
          <w:shd w:val="clear" w:fill="FFFFFF"/>
        </w:rPr>
        <w:t>（</w:t>
      </w:r>
      <w:r>
        <w:rPr>
          <w:rFonts w:hint="eastAsia" w:ascii="楷体_GB2312" w:hAnsi="楷体_GB2312" w:eastAsia="楷体_GB2312" w:cs="楷体_GB2312"/>
          <w:i w:val="0"/>
          <w:caps w:val="0"/>
          <w:color w:val="auto"/>
          <w:spacing w:val="0"/>
          <w:sz w:val="32"/>
          <w:szCs w:val="32"/>
          <w:shd w:val="clear" w:fill="FFFFFF"/>
          <w:lang w:val="en-US" w:eastAsia="zh-CN"/>
        </w:rPr>
        <w:t>三</w:t>
      </w:r>
      <w:r>
        <w:rPr>
          <w:rFonts w:hint="eastAsia" w:ascii="楷体_GB2312" w:hAnsi="楷体_GB2312" w:eastAsia="楷体_GB2312" w:cs="楷体_GB2312"/>
          <w:i w:val="0"/>
          <w:caps w:val="0"/>
          <w:color w:val="auto"/>
          <w:spacing w:val="0"/>
          <w:sz w:val="32"/>
          <w:szCs w:val="32"/>
          <w:shd w:val="clear" w:fill="FFFFFF"/>
        </w:rPr>
        <w:t>）</w:t>
      </w:r>
      <w:r>
        <w:rPr>
          <w:rFonts w:hint="eastAsia" w:ascii="楷体_GB2312" w:hAnsi="楷体_GB2312" w:eastAsia="楷体_GB2312" w:cs="楷体_GB2312"/>
          <w:i w:val="0"/>
          <w:caps w:val="0"/>
          <w:color w:val="auto"/>
          <w:spacing w:val="0"/>
          <w:sz w:val="32"/>
          <w:szCs w:val="32"/>
          <w:shd w:val="clear" w:fill="FFFFFF"/>
          <w:lang w:val="en-US" w:eastAsia="zh-CN"/>
        </w:rPr>
        <w:t>专业备案材料</w:t>
      </w:r>
      <w:r>
        <w:rPr>
          <w:rFonts w:hint="eastAsia" w:ascii="楷体_GB2312" w:hAnsi="楷体_GB2312" w:eastAsia="楷体_GB2312" w:cs="楷体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技工院校备案开设新专业需提交以下材料。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caps w:val="0"/>
          <w:color w:val="auto"/>
          <w:spacing w:val="0"/>
          <w:sz w:val="32"/>
          <w:szCs w:val="32"/>
          <w:shd w:val="clear" w:fill="FFFFFF"/>
        </w:rPr>
        <w:t>市场调研报告</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rPr>
        <w:t>专业</w:t>
      </w:r>
      <w:r>
        <w:rPr>
          <w:rFonts w:hint="eastAsia" w:ascii="仿宋_GB2312" w:hAnsi="仿宋_GB2312" w:eastAsia="仿宋_GB2312" w:cs="仿宋_GB2312"/>
          <w:b w:val="0"/>
          <w:bCs w:val="0"/>
          <w:i w:val="0"/>
          <w:caps w:val="0"/>
          <w:color w:val="auto"/>
          <w:spacing w:val="0"/>
          <w:sz w:val="32"/>
          <w:szCs w:val="32"/>
          <w:shd w:val="clear" w:fill="FFFFFF"/>
          <w:lang w:val="en-US" w:eastAsia="zh-CN"/>
        </w:rPr>
        <w:t>开设</w:t>
      </w:r>
      <w:r>
        <w:rPr>
          <w:rFonts w:hint="eastAsia" w:ascii="仿宋_GB2312" w:hAnsi="仿宋_GB2312" w:eastAsia="仿宋_GB2312" w:cs="仿宋_GB2312"/>
          <w:b w:val="0"/>
          <w:bCs w:val="0"/>
          <w:i w:val="0"/>
          <w:caps w:val="0"/>
          <w:color w:val="auto"/>
          <w:spacing w:val="0"/>
          <w:sz w:val="32"/>
          <w:szCs w:val="32"/>
          <w:shd w:val="clear" w:fill="FFFFFF"/>
        </w:rPr>
        <w:t>前，</w:t>
      </w:r>
      <w:r>
        <w:rPr>
          <w:rFonts w:hint="eastAsia" w:ascii="仿宋_GB2312" w:hAnsi="仿宋_GB2312" w:eastAsia="仿宋_GB2312" w:cs="仿宋_GB2312"/>
          <w:b w:val="0"/>
          <w:bCs w:val="0"/>
          <w:i w:val="0"/>
          <w:caps w:val="0"/>
          <w:color w:val="auto"/>
          <w:spacing w:val="0"/>
          <w:sz w:val="32"/>
          <w:szCs w:val="32"/>
          <w:shd w:val="clear" w:fill="FFFFFF"/>
          <w:lang w:val="en-US" w:eastAsia="zh-CN"/>
        </w:rPr>
        <w:t>各技工院校</w:t>
      </w:r>
      <w:r>
        <w:rPr>
          <w:rFonts w:hint="eastAsia" w:ascii="仿宋_GB2312" w:hAnsi="仿宋_GB2312" w:eastAsia="仿宋_GB2312" w:cs="仿宋_GB2312"/>
          <w:b w:val="0"/>
          <w:bCs w:val="0"/>
          <w:i w:val="0"/>
          <w:caps w:val="0"/>
          <w:color w:val="auto"/>
          <w:spacing w:val="0"/>
          <w:sz w:val="32"/>
          <w:szCs w:val="32"/>
          <w:shd w:val="clear" w:fill="FFFFFF"/>
        </w:rPr>
        <w:t>要认真组织</w:t>
      </w:r>
      <w:r>
        <w:rPr>
          <w:rFonts w:hint="eastAsia" w:ascii="仿宋_GB2312" w:hAnsi="仿宋_GB2312" w:eastAsia="仿宋_GB2312" w:cs="仿宋_GB2312"/>
          <w:b w:val="0"/>
          <w:bCs w:val="0"/>
          <w:i w:val="0"/>
          <w:caps w:val="0"/>
          <w:color w:val="auto"/>
          <w:spacing w:val="0"/>
          <w:sz w:val="32"/>
          <w:szCs w:val="32"/>
          <w:shd w:val="clear" w:fill="FFFFFF"/>
          <w:lang w:val="en-US" w:eastAsia="zh-CN"/>
        </w:rPr>
        <w:t>开展市场调研，摸底</w:t>
      </w:r>
      <w:r>
        <w:rPr>
          <w:rFonts w:hint="eastAsia" w:ascii="仿宋_GB2312" w:hAnsi="仿宋_GB2312" w:eastAsia="仿宋_GB2312" w:cs="仿宋_GB2312"/>
          <w:b w:val="0"/>
          <w:bCs w:val="0"/>
          <w:i w:val="0"/>
          <w:caps w:val="0"/>
          <w:color w:val="auto"/>
          <w:spacing w:val="0"/>
          <w:sz w:val="32"/>
          <w:szCs w:val="32"/>
          <w:shd w:val="clear" w:fill="FFFFFF"/>
        </w:rPr>
        <w:t>行业、企业</w:t>
      </w:r>
      <w:r>
        <w:rPr>
          <w:rFonts w:hint="eastAsia" w:ascii="仿宋_GB2312" w:hAnsi="仿宋_GB2312" w:eastAsia="仿宋_GB2312" w:cs="仿宋_GB2312"/>
          <w:b w:val="0"/>
          <w:bCs w:val="0"/>
          <w:i w:val="0"/>
          <w:caps w:val="0"/>
          <w:color w:val="auto"/>
          <w:spacing w:val="0"/>
          <w:sz w:val="32"/>
          <w:szCs w:val="32"/>
          <w:shd w:val="clear" w:fill="FFFFFF"/>
          <w:lang w:val="en-US" w:eastAsia="zh-CN"/>
        </w:rPr>
        <w:t>用工需求</w:t>
      </w:r>
      <w:r>
        <w:rPr>
          <w:rFonts w:hint="eastAsia" w:ascii="仿宋_GB2312" w:hAnsi="仿宋_GB2312" w:eastAsia="仿宋_GB2312" w:cs="仿宋_GB2312"/>
          <w:b w:val="0"/>
          <w:bCs w:val="0"/>
          <w:i w:val="0"/>
          <w:caps w:val="0"/>
          <w:color w:val="auto"/>
          <w:spacing w:val="0"/>
          <w:sz w:val="32"/>
          <w:szCs w:val="32"/>
          <w:shd w:val="clear" w:fill="FFFFFF"/>
        </w:rPr>
        <w:t>，做好人才需求分析预测，进行专业设置必要性和可行性论证</w:t>
      </w:r>
      <w:r>
        <w:rPr>
          <w:rFonts w:hint="eastAsia" w:ascii="仿宋_GB2312" w:hAnsi="仿宋_GB2312" w:eastAsia="仿宋_GB2312" w:cs="仿宋_GB2312"/>
          <w:b w:val="0"/>
          <w:bCs w:val="0"/>
          <w:i w:val="0"/>
          <w:caps w:val="0"/>
          <w:color w:val="auto"/>
          <w:spacing w:val="0"/>
          <w:sz w:val="32"/>
          <w:szCs w:val="32"/>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2.</w:t>
      </w:r>
      <w:r>
        <w:rPr>
          <w:rFonts w:hint="eastAsia" w:ascii="仿宋_GB2312" w:hAnsi="仿宋_GB2312" w:eastAsia="仿宋_GB2312" w:cs="仿宋_GB2312"/>
          <w:b w:val="0"/>
          <w:bCs w:val="0"/>
          <w:i w:val="0"/>
          <w:caps w:val="0"/>
          <w:color w:val="auto"/>
          <w:spacing w:val="0"/>
          <w:sz w:val="32"/>
          <w:szCs w:val="32"/>
          <w:shd w:val="clear" w:fill="FFFFFF"/>
        </w:rPr>
        <w:t>实施性教学计划</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各技工院校要</w:t>
      </w:r>
      <w:r>
        <w:rPr>
          <w:rFonts w:hint="eastAsia" w:ascii="仿宋_GB2312" w:hAnsi="仿宋_GB2312" w:eastAsia="仿宋_GB2312" w:cs="仿宋_GB2312"/>
          <w:b w:val="0"/>
          <w:bCs w:val="0"/>
          <w:i w:val="0"/>
          <w:caps w:val="0"/>
          <w:color w:val="auto"/>
          <w:spacing w:val="0"/>
          <w:sz w:val="32"/>
          <w:szCs w:val="32"/>
          <w:shd w:val="clear" w:fill="FFFFFF"/>
        </w:rPr>
        <w:t>制定符合专业培养目标的实施性教学计划和相关教学文件，</w:t>
      </w:r>
      <w:r>
        <w:rPr>
          <w:rFonts w:hint="eastAsia" w:ascii="仿宋_GB2312" w:hAnsi="仿宋_GB2312" w:eastAsia="仿宋_GB2312" w:cs="仿宋_GB2312"/>
          <w:b w:val="0"/>
          <w:bCs w:val="0"/>
          <w:i w:val="0"/>
          <w:caps w:val="0"/>
          <w:color w:val="auto"/>
          <w:spacing w:val="0"/>
          <w:sz w:val="32"/>
          <w:szCs w:val="32"/>
          <w:shd w:val="clear" w:fill="FFFFFF"/>
          <w:lang w:val="en-US" w:eastAsia="zh-CN"/>
        </w:rPr>
        <w:t>并详细说明师资、</w:t>
      </w:r>
      <w:r>
        <w:rPr>
          <w:rFonts w:hint="eastAsia" w:ascii="仿宋_GB2312" w:hAnsi="仿宋_GB2312" w:eastAsia="仿宋_GB2312" w:cs="仿宋_GB2312"/>
          <w:b w:val="0"/>
          <w:bCs w:val="0"/>
          <w:i w:val="0"/>
          <w:caps w:val="0"/>
          <w:color w:val="auto"/>
          <w:spacing w:val="0"/>
          <w:sz w:val="32"/>
          <w:szCs w:val="32"/>
          <w:shd w:val="clear" w:fill="FFFFFF"/>
        </w:rPr>
        <w:t>仪器设备、实习实训场所</w:t>
      </w:r>
      <w:r>
        <w:rPr>
          <w:rFonts w:hint="eastAsia" w:ascii="仿宋_GB2312" w:hAnsi="仿宋_GB2312" w:eastAsia="仿宋_GB2312" w:cs="仿宋_GB2312"/>
          <w:b w:val="0"/>
          <w:bCs w:val="0"/>
          <w:i w:val="0"/>
          <w:caps w:val="0"/>
          <w:color w:val="auto"/>
          <w:spacing w:val="0"/>
          <w:sz w:val="32"/>
          <w:szCs w:val="32"/>
          <w:shd w:val="clear" w:fill="FFFFFF"/>
          <w:lang w:val="en-US" w:eastAsia="zh-CN"/>
        </w:rPr>
        <w:t>等基本情况。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caps w:val="0"/>
          <w:color w:val="auto"/>
          <w:spacing w:val="0"/>
          <w:sz w:val="32"/>
          <w:szCs w:val="32"/>
          <w:shd w:val="clear" w:fill="FFFFFF"/>
        </w:rPr>
        <w:t>专业设置评议委员会评议</w:t>
      </w:r>
      <w:r>
        <w:rPr>
          <w:rFonts w:hint="eastAsia" w:ascii="仿宋_GB2312" w:hAnsi="仿宋_GB2312" w:eastAsia="仿宋_GB2312" w:cs="仿宋_GB2312"/>
          <w:b w:val="0"/>
          <w:bCs w:val="0"/>
          <w:i w:val="0"/>
          <w:caps w:val="0"/>
          <w:color w:val="auto"/>
          <w:spacing w:val="0"/>
          <w:sz w:val="32"/>
          <w:szCs w:val="32"/>
          <w:shd w:val="clear" w:fill="FFFFFF"/>
          <w:lang w:val="en-US" w:eastAsia="zh-CN"/>
        </w:rPr>
        <w:t>意见</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rPr>
        <w:t>各技工院校要邀请相关行业、企业、教学和课程专家，共同建立专业设置评议委员会</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对教学计划等专业设置材料进行论证，形成一致意见</w:t>
      </w:r>
      <w:r>
        <w:rPr>
          <w:rFonts w:hint="eastAsia" w:ascii="仿宋_GB2312" w:hAnsi="仿宋_GB2312" w:eastAsia="仿宋_GB2312" w:cs="仿宋_GB2312"/>
          <w:b w:val="0"/>
          <w:bCs w:val="0"/>
          <w:i w:val="0"/>
          <w:caps w:val="0"/>
          <w:color w:val="auto"/>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4.学校审议及公示材料。</w:t>
      </w:r>
      <w:r>
        <w:rPr>
          <w:rFonts w:hint="eastAsia" w:ascii="仿宋_GB2312" w:hAnsi="仿宋_GB2312" w:eastAsia="仿宋_GB2312" w:cs="仿宋_GB2312"/>
          <w:i w:val="0"/>
          <w:caps w:val="0"/>
          <w:color w:val="auto"/>
          <w:spacing w:val="0"/>
          <w:sz w:val="32"/>
          <w:szCs w:val="32"/>
          <w:shd w:val="clear" w:fill="FFFFFF"/>
          <w:lang w:val="en-US" w:eastAsia="zh-CN"/>
        </w:rPr>
        <w:t>新</w:t>
      </w:r>
      <w:r>
        <w:rPr>
          <w:rFonts w:hint="eastAsia" w:ascii="仿宋_GB2312" w:hAnsi="仿宋_GB2312" w:eastAsia="仿宋_GB2312" w:cs="仿宋_GB2312"/>
          <w:i w:val="0"/>
          <w:caps w:val="0"/>
          <w:color w:val="auto"/>
          <w:spacing w:val="0"/>
          <w:sz w:val="32"/>
          <w:szCs w:val="32"/>
          <w:shd w:val="clear" w:fill="FFFFFF"/>
        </w:rPr>
        <w:t>设专业的申请材料、论证报告应经学校党委会或校长办公会进行审议通过，并在学校官网进行公示，时间不少于5个工作日。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
        </w:rPr>
        <w:t>四</w:t>
      </w:r>
      <w:r>
        <w:rPr>
          <w:rFonts w:hint="eastAsia" w:ascii="黑体" w:hAnsi="黑体" w:eastAsia="黑体" w:cs="黑体"/>
          <w:i w:val="0"/>
          <w:caps w:val="0"/>
          <w:color w:val="auto"/>
          <w:spacing w:val="0"/>
          <w:sz w:val="32"/>
          <w:szCs w:val="32"/>
          <w:shd w:val="clear" w:fill="FFFFFF"/>
          <w:lang w:val="en-US" w:eastAsia="zh-CN"/>
        </w:rPr>
        <w:t>、监督指导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各级人力资源社会保障部门对在本级备案的技工院校专业设置实施要加强指导和监督，对专业办学条件不达标、教学管理混乱、教学质量低下、就业率过低的，人力资源社会保障主管部门应责令学校限期整改；整改后仍达不到要求的，应暂停该专业招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联系人：职业能力建设处</w:t>
      </w:r>
      <w:r>
        <w:rPr>
          <w:rFonts w:hint="eastAsia" w:ascii="仿宋_GB2312" w:hAnsi="仿宋_GB2312" w:eastAsia="仿宋_GB2312" w:cs="仿宋_GB2312"/>
          <w:i w:val="0"/>
          <w:caps w:val="0"/>
          <w:color w:val="auto"/>
          <w:spacing w:val="0"/>
          <w:sz w:val="32"/>
          <w:szCs w:val="32"/>
          <w:shd w:val="clear" w:fill="FFFFFF"/>
          <w:lang w:val="en-US" w:eastAsia="zh"/>
        </w:rPr>
        <w:t>，</w:t>
      </w:r>
      <w:r>
        <w:rPr>
          <w:rFonts w:hint="eastAsia" w:ascii="仿宋_GB2312" w:hAnsi="仿宋_GB2312" w:eastAsia="仿宋_GB2312" w:cs="仿宋_GB2312"/>
          <w:i w:val="0"/>
          <w:caps w:val="0"/>
          <w:color w:val="auto"/>
          <w:spacing w:val="0"/>
          <w:sz w:val="32"/>
          <w:szCs w:val="32"/>
          <w:shd w:val="clear" w:fill="FFFFFF"/>
          <w:lang w:val="en-US" w:eastAsia="zh-CN"/>
        </w:rPr>
        <w:t>于金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联系电话：0531-51788150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附件：山东省技工院校预警专业目录（2025版）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160" w:firstLineChars="1300"/>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160" w:firstLineChars="1300"/>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160" w:firstLineChars="1300"/>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0" w:firstLineChars="1600"/>
        <w:textAlignment w:val="auto"/>
        <w:outlineLvl w:val="9"/>
        <w:rPr>
          <w:rFonts w:hint="eastAsia" w:ascii="黑体" w:hAnsi="黑体" w:eastAsia="黑体" w:cs="黑体"/>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2025年2月7日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32"/>
          <w:szCs w:val="32"/>
          <w:lang w:val="en-US" w:eastAsia="zh"/>
        </w:rPr>
      </w:pPr>
      <w:r>
        <w:rPr>
          <w:rFonts w:hint="eastAsia" w:ascii="仿宋_GB2312" w:hAnsi="仿宋_GB2312" w:eastAsia="仿宋_GB2312" w:cs="仿宋_GB2312"/>
          <w:color w:val="auto"/>
          <w:sz w:val="32"/>
          <w:szCs w:val="32"/>
          <w:lang w:val="en-US" w:eastAsia="zh"/>
        </w:rPr>
        <w:t xml:space="preserve">    （此件主动公开）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
        </w:rPr>
        <w:t xml:space="preserve">    （联系单位：职业能力建设处）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w:t>
      </w:r>
      <w:r>
        <w:rPr>
          <w:rFonts w:hint="eastAsia" w:ascii="黑体" w:hAnsi="黑体" w:eastAsia="黑体" w:cs="黑体"/>
          <w:color w:val="auto"/>
          <w:sz w:val="32"/>
          <w:szCs w:val="32"/>
          <w:lang w:val="en-US" w:eastAsia="zh"/>
        </w:rPr>
        <w:t xml:space="preserve"> </w:t>
      </w:r>
      <w:r>
        <w:rPr>
          <w:rFonts w:hint="eastAsia" w:ascii="黑体" w:hAnsi="黑体" w:eastAsia="黑体" w:cs="黑体"/>
          <w:color w:val="auto"/>
          <w:sz w:val="32"/>
          <w:szCs w:val="32"/>
          <w:lang w:val="en-US" w:eastAsia="zh-CN"/>
        </w:rPr>
        <w:t>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山东省技工院校预警专业目录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（2025版）</w:t>
      </w:r>
    </w:p>
    <w:p>
      <w:pPr>
        <w:keepNext w:val="0"/>
        <w:keepLines w:val="0"/>
        <w:pageBreakBefore w:val="0"/>
        <w:widowControl w:val="0"/>
        <w:kinsoku/>
        <w:wordWrap/>
        <w:overflowPunct/>
        <w:topLinePunct w:val="0"/>
        <w:autoSpaceDE/>
        <w:autoSpaceDN/>
        <w:bidi w:val="0"/>
        <w:adjustRightInd/>
        <w:snapToGrid/>
        <w:textAlignment w:val="auto"/>
        <w:rPr>
          <w:color w:val="auto"/>
        </w:rPr>
      </w:pPr>
    </w:p>
    <w:tbl>
      <w:tblPr>
        <w:tblStyle w:val="7"/>
        <w:tblpPr w:leftFromText="180" w:rightFromText="180" w:vertAnchor="text" w:horzAnchor="page" w:tblpXSpec="center" w:tblpY="5"/>
        <w:tblOverlap w:val="never"/>
        <w:tblW w:w="8967" w:type="dxa"/>
        <w:jc w:val="center"/>
        <w:tblCellSpacing w:w="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262"/>
        <w:gridCol w:w="2130"/>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62" w:hRule="exact"/>
          <w:tblCellSpacing w:w="0" w:type="dxa"/>
          <w:jc w:val="center"/>
        </w:trPr>
        <w:tc>
          <w:tcPr>
            <w:tcW w:w="2262" w:type="dxa"/>
            <w:tcBorders>
              <w:tl2br w:val="nil"/>
              <w:tr2bl w:val="nil"/>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color w:val="auto"/>
                <w:kern w:val="2"/>
                <w:sz w:val="32"/>
                <w:szCs w:val="32"/>
                <w:lang w:val="en-US" w:eastAsia="zh-CN" w:bidi="ar-SA"/>
              </w:rPr>
            </w:pPr>
            <w:r>
              <w:rPr>
                <w:rFonts w:hint="eastAsia" w:ascii="黑体" w:hAnsi="黑体" w:eastAsia="黑体" w:cs="黑体"/>
                <w:b w:val="0"/>
                <w:color w:val="auto"/>
                <w:sz w:val="32"/>
                <w:szCs w:val="32"/>
                <w:lang w:val="en-US" w:eastAsia="zh-CN"/>
              </w:rPr>
              <w:t>专业类</w:t>
            </w:r>
          </w:p>
        </w:tc>
        <w:tc>
          <w:tcPr>
            <w:tcW w:w="2130" w:type="dxa"/>
            <w:tcBorders>
              <w:tl2br w:val="nil"/>
              <w:tr2bl w:val="nil"/>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color w:val="auto"/>
                <w:kern w:val="2"/>
                <w:sz w:val="32"/>
                <w:szCs w:val="32"/>
                <w:lang w:val="en-US" w:eastAsia="zh-CN" w:bidi="ar-SA"/>
              </w:rPr>
            </w:pPr>
            <w:r>
              <w:rPr>
                <w:rFonts w:hint="eastAsia" w:ascii="黑体" w:hAnsi="黑体" w:eastAsia="黑体" w:cs="黑体"/>
                <w:b w:val="0"/>
                <w:color w:val="auto"/>
                <w:sz w:val="32"/>
                <w:szCs w:val="32"/>
                <w:lang w:val="en-US" w:eastAsia="zh-CN"/>
              </w:rPr>
              <w:t>专业编码</w:t>
            </w:r>
          </w:p>
        </w:tc>
        <w:tc>
          <w:tcPr>
            <w:tcW w:w="4575" w:type="dxa"/>
            <w:tcBorders>
              <w:tl2br w:val="nil"/>
              <w:tr2bl w:val="nil"/>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color w:val="auto"/>
                <w:kern w:val="2"/>
                <w:sz w:val="32"/>
                <w:szCs w:val="32"/>
                <w:lang w:val="en-US" w:eastAsia="zh-CN" w:bidi="ar-SA"/>
              </w:rPr>
            </w:pPr>
            <w:r>
              <w:rPr>
                <w:rFonts w:hint="eastAsia" w:ascii="黑体" w:hAnsi="黑体" w:eastAsia="黑体" w:cs="黑体"/>
                <w:b w:val="0"/>
                <w:color w:val="auto"/>
                <w:sz w:val="32"/>
                <w:szCs w:val="32"/>
                <w:lang w:val="en-US" w:eastAsia="zh-CN"/>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tblCellSpacing w:w="0" w:type="dxa"/>
          <w:jc w:val="center"/>
        </w:trPr>
        <w:tc>
          <w:tcPr>
            <w:tcW w:w="2262" w:type="dxa"/>
            <w:vMerge w:val="restart"/>
            <w:tcBorders>
              <w:tl2br w:val="nil"/>
              <w:tr2bl w:val="nil"/>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b w:val="0"/>
                <w:color w:val="auto"/>
                <w:sz w:val="24"/>
                <w:szCs w:val="24"/>
                <w:lang w:val="en-US" w:eastAsia="zh-CN"/>
              </w:rPr>
            </w:pPr>
            <w:r>
              <w:rPr>
                <w:rFonts w:hint="eastAsia" w:asciiTheme="minorHAnsi" w:eastAsiaTheme="minorEastAsia"/>
                <w:b w:val="0"/>
                <w:color w:val="auto"/>
                <w:sz w:val="24"/>
                <w:szCs w:val="24"/>
                <w:lang w:val="en-US" w:eastAsia="zh-CN"/>
              </w:rPr>
              <w:t>信息类</w:t>
            </w:r>
          </w:p>
        </w:tc>
        <w:tc>
          <w:tcPr>
            <w:tcW w:w="2130" w:type="dxa"/>
            <w:tcBorders>
              <w:tl2br w:val="nil"/>
              <w:tr2bl w:val="nil"/>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b w:val="0"/>
                <w:color w:val="auto"/>
                <w:sz w:val="24"/>
                <w:szCs w:val="24"/>
                <w:lang w:val="en-US" w:eastAsia="zh-CN"/>
              </w:rPr>
            </w:pPr>
            <w:r>
              <w:rPr>
                <w:rFonts w:hint="eastAsia" w:asciiTheme="minorHAnsi" w:eastAsiaTheme="minorEastAsia"/>
                <w:b w:val="0"/>
                <w:color w:val="auto"/>
                <w:sz w:val="24"/>
                <w:szCs w:val="24"/>
                <w:lang w:val="en-US" w:eastAsia="zh-CN"/>
              </w:rPr>
              <w:t>0301</w:t>
            </w:r>
          </w:p>
        </w:tc>
        <w:tc>
          <w:tcPr>
            <w:tcW w:w="4575" w:type="dxa"/>
            <w:tcBorders>
              <w:tl2br w:val="nil"/>
              <w:tr2bl w:val="nil"/>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color w:val="auto"/>
                <w:sz w:val="24"/>
                <w:szCs w:val="24"/>
                <w:lang w:val="en-US" w:eastAsia="zh-CN"/>
              </w:rPr>
            </w:pPr>
            <w:r>
              <w:rPr>
                <w:rFonts w:hint="eastAsia" w:asciiTheme="minorHAnsi" w:eastAsiaTheme="minorEastAsia"/>
                <w:b w:val="0"/>
                <w:color w:val="auto"/>
                <w:sz w:val="24"/>
                <w:szCs w:val="24"/>
                <w:lang w:val="en-US" w:eastAsia="zh-CN"/>
              </w:rPr>
              <w:t>计算机网络应用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tblCellSpacing w:w="0" w:type="dxa"/>
          <w:jc w:val="center"/>
        </w:trPr>
        <w:tc>
          <w:tcPr>
            <w:tcW w:w="2262" w:type="dxa"/>
            <w:vMerge w:val="continue"/>
            <w:tcBorders>
              <w:tl2br w:val="nil"/>
              <w:tr2bl w:val="nil"/>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val="0"/>
                <w:color w:val="auto"/>
                <w:sz w:val="24"/>
                <w:szCs w:val="24"/>
              </w:rPr>
            </w:pPr>
          </w:p>
        </w:tc>
        <w:tc>
          <w:tcPr>
            <w:tcW w:w="2130" w:type="dxa"/>
            <w:tcBorders>
              <w:tl2br w:val="nil"/>
              <w:tr2bl w:val="nil"/>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b w:val="0"/>
                <w:color w:val="auto"/>
                <w:sz w:val="24"/>
                <w:szCs w:val="24"/>
                <w:lang w:val="en-US" w:eastAsia="zh-CN"/>
              </w:rPr>
            </w:pPr>
            <w:r>
              <w:rPr>
                <w:rFonts w:hint="eastAsia" w:asciiTheme="minorHAnsi" w:eastAsiaTheme="minorEastAsia"/>
                <w:b w:val="0"/>
                <w:color w:val="auto"/>
                <w:sz w:val="24"/>
                <w:szCs w:val="24"/>
                <w:lang w:val="en-US" w:eastAsia="zh-CN"/>
              </w:rPr>
              <w:t>0303</w:t>
            </w:r>
          </w:p>
        </w:tc>
        <w:tc>
          <w:tcPr>
            <w:tcW w:w="4575" w:type="dxa"/>
            <w:tcBorders>
              <w:tl2br w:val="nil"/>
              <w:tr2bl w:val="nil"/>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color w:val="auto"/>
                <w:sz w:val="24"/>
                <w:szCs w:val="24"/>
                <w:lang w:val="en-US" w:eastAsia="zh-CN"/>
              </w:rPr>
            </w:pPr>
            <w:r>
              <w:rPr>
                <w:rFonts w:hint="eastAsia" w:asciiTheme="minorHAnsi" w:eastAsiaTheme="minorEastAsia"/>
                <w:b w:val="0"/>
                <w:color w:val="auto"/>
                <w:sz w:val="24"/>
                <w:szCs w:val="24"/>
                <w:lang w:val="en-US" w:eastAsia="zh-CN"/>
              </w:rPr>
              <w:t>计算机应用与维修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tblCellSpacing w:w="0" w:type="dxa"/>
          <w:jc w:val="center"/>
        </w:trPr>
        <w:tc>
          <w:tcPr>
            <w:tcW w:w="2262" w:type="dxa"/>
            <w:tcBorders>
              <w:tl2br w:val="nil"/>
              <w:tr2bl w:val="nil"/>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val="0"/>
                <w:color w:val="auto"/>
                <w:sz w:val="24"/>
                <w:szCs w:val="24"/>
              </w:rPr>
            </w:pPr>
            <w:r>
              <w:rPr>
                <w:rFonts w:hint="eastAsia" w:asciiTheme="minorHAnsi" w:eastAsiaTheme="minorEastAsia"/>
                <w:b w:val="0"/>
                <w:color w:val="auto"/>
                <w:sz w:val="24"/>
                <w:szCs w:val="24"/>
                <w:lang w:val="en-US" w:eastAsia="zh-CN"/>
              </w:rPr>
              <w:t>财经商贸类</w:t>
            </w:r>
          </w:p>
        </w:tc>
        <w:tc>
          <w:tcPr>
            <w:tcW w:w="2130" w:type="dxa"/>
            <w:tcBorders>
              <w:tl2br w:val="nil"/>
              <w:tr2bl w:val="nil"/>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val="0"/>
                <w:color w:val="auto"/>
                <w:sz w:val="24"/>
                <w:szCs w:val="24"/>
                <w:lang w:val="en-US" w:eastAsia="zh-CN"/>
              </w:rPr>
            </w:pPr>
            <w:r>
              <w:rPr>
                <w:rFonts w:hint="eastAsia" w:asciiTheme="minorHAnsi" w:eastAsiaTheme="minorEastAsia"/>
                <w:b w:val="0"/>
                <w:color w:val="auto"/>
                <w:sz w:val="24"/>
                <w:szCs w:val="24"/>
                <w:lang w:val="en-US" w:eastAsia="zh-CN"/>
              </w:rPr>
              <w:t>0603</w:t>
            </w:r>
          </w:p>
        </w:tc>
        <w:tc>
          <w:tcPr>
            <w:tcW w:w="4575" w:type="dxa"/>
            <w:tcBorders>
              <w:tl2br w:val="nil"/>
              <w:tr2bl w:val="nil"/>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color w:val="auto"/>
                <w:sz w:val="24"/>
                <w:szCs w:val="24"/>
                <w:lang w:val="en-US" w:eastAsia="zh-CN"/>
              </w:rPr>
            </w:pPr>
            <w:r>
              <w:rPr>
                <w:rFonts w:hint="eastAsia" w:asciiTheme="minorHAnsi" w:eastAsiaTheme="minorEastAsia"/>
                <w:b w:val="0"/>
                <w:color w:val="auto"/>
                <w:sz w:val="24"/>
                <w:szCs w:val="24"/>
                <w:lang w:val="en-US" w:eastAsia="zh-CN"/>
              </w:rPr>
              <w:t>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tblCellSpacing w:w="0" w:type="dxa"/>
          <w:jc w:val="center"/>
        </w:trPr>
        <w:tc>
          <w:tcPr>
            <w:tcW w:w="2262" w:type="dxa"/>
            <w:tcBorders>
              <w:tl2br w:val="nil"/>
              <w:tr2bl w:val="nil"/>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color w:val="auto"/>
                <w:sz w:val="24"/>
                <w:szCs w:val="24"/>
                <w:lang w:val="en-US" w:eastAsia="zh-CN"/>
              </w:rPr>
            </w:pPr>
            <w:r>
              <w:rPr>
                <w:rFonts w:hint="eastAsia"/>
                <w:b w:val="0"/>
                <w:color w:val="auto"/>
                <w:sz w:val="24"/>
                <w:szCs w:val="24"/>
                <w:lang w:val="en-US" w:eastAsia="zh-CN"/>
              </w:rPr>
              <w:t>服务类</w:t>
            </w:r>
          </w:p>
        </w:tc>
        <w:tc>
          <w:tcPr>
            <w:tcW w:w="2130" w:type="dxa"/>
            <w:tcBorders>
              <w:tl2br w:val="nil"/>
              <w:tr2bl w:val="nil"/>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color w:val="auto"/>
                <w:sz w:val="24"/>
                <w:szCs w:val="24"/>
                <w:lang w:val="en-US" w:eastAsia="zh-CN"/>
              </w:rPr>
            </w:pPr>
            <w:r>
              <w:rPr>
                <w:rFonts w:hint="eastAsia"/>
                <w:b w:val="0"/>
                <w:color w:val="auto"/>
                <w:sz w:val="24"/>
                <w:szCs w:val="24"/>
                <w:lang w:val="en-US" w:eastAsia="zh-CN"/>
              </w:rPr>
              <w:t>0515</w:t>
            </w:r>
          </w:p>
        </w:tc>
        <w:tc>
          <w:tcPr>
            <w:tcW w:w="4575" w:type="dxa"/>
            <w:tcBorders>
              <w:tl2br w:val="nil"/>
              <w:tr2bl w:val="nil"/>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color w:val="auto"/>
                <w:sz w:val="24"/>
                <w:szCs w:val="24"/>
                <w:lang w:val="en-US" w:eastAsia="zh-CN"/>
              </w:rPr>
            </w:pPr>
            <w:r>
              <w:rPr>
                <w:rFonts w:hint="eastAsia"/>
                <w:b w:val="0"/>
                <w:color w:val="auto"/>
                <w:sz w:val="24"/>
                <w:szCs w:val="24"/>
                <w:lang w:val="en-US" w:eastAsia="zh-CN"/>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tblCellSpacing w:w="0" w:type="dxa"/>
          <w:jc w:val="center"/>
        </w:trPr>
        <w:tc>
          <w:tcPr>
            <w:tcW w:w="2262" w:type="dxa"/>
            <w:tcBorders>
              <w:tl2br w:val="nil"/>
              <w:tr2bl w:val="nil"/>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b w:val="0"/>
                <w:color w:val="auto"/>
                <w:sz w:val="24"/>
                <w:szCs w:val="24"/>
                <w:lang w:val="en-US" w:eastAsia="zh-CN"/>
              </w:rPr>
            </w:pPr>
            <w:r>
              <w:rPr>
                <w:rFonts w:hint="eastAsia" w:asciiTheme="minorHAnsi" w:eastAsiaTheme="minorEastAsia"/>
                <w:b w:val="0"/>
                <w:color w:val="auto"/>
                <w:sz w:val="24"/>
                <w:szCs w:val="24"/>
                <w:lang w:val="en-US" w:eastAsia="zh-CN"/>
              </w:rPr>
              <w:t>其他</w:t>
            </w:r>
          </w:p>
        </w:tc>
        <w:tc>
          <w:tcPr>
            <w:tcW w:w="2130" w:type="dxa"/>
            <w:tcBorders>
              <w:tl2br w:val="nil"/>
              <w:tr2bl w:val="nil"/>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b w:val="0"/>
                <w:color w:val="auto"/>
                <w:sz w:val="24"/>
                <w:szCs w:val="24"/>
                <w:lang w:val="en-US" w:eastAsia="zh-CN"/>
              </w:rPr>
            </w:pPr>
            <w:r>
              <w:rPr>
                <w:rFonts w:hint="eastAsia" w:asciiTheme="minorHAnsi" w:eastAsiaTheme="minorEastAsia"/>
                <w:b w:val="0"/>
                <w:color w:val="auto"/>
                <w:sz w:val="24"/>
                <w:szCs w:val="24"/>
                <w:lang w:val="en-US" w:eastAsia="zh-CN"/>
              </w:rPr>
              <w:t>1501</w:t>
            </w:r>
          </w:p>
        </w:tc>
        <w:tc>
          <w:tcPr>
            <w:tcW w:w="4575" w:type="dxa"/>
            <w:tcBorders>
              <w:tl2br w:val="nil"/>
              <w:tr2bl w:val="nil"/>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color w:val="auto"/>
                <w:sz w:val="24"/>
                <w:szCs w:val="24"/>
                <w:lang w:val="en-US" w:eastAsia="zh-CN"/>
              </w:rPr>
            </w:pPr>
            <w:r>
              <w:rPr>
                <w:rFonts w:hint="eastAsia" w:asciiTheme="minorHAnsi" w:eastAsiaTheme="minorEastAsia"/>
                <w:b w:val="0"/>
                <w:color w:val="auto"/>
                <w:sz w:val="24"/>
                <w:szCs w:val="24"/>
                <w:lang w:val="en-US" w:eastAsia="zh-CN"/>
              </w:rPr>
              <w:t>幼儿教育</w:t>
            </w:r>
          </w:p>
        </w:tc>
      </w:tr>
    </w:tbl>
    <w:p>
      <w:pPr>
        <w:keepNext w:val="0"/>
        <w:keepLines w:val="0"/>
        <w:pageBreakBefore w:val="0"/>
        <w:widowControl w:val="0"/>
        <w:kinsoku/>
        <w:wordWrap/>
        <w:overflowPunct/>
        <w:topLinePunct w:val="0"/>
        <w:autoSpaceDE/>
        <w:autoSpaceDN/>
        <w:bidi w:val="0"/>
        <w:adjustRightInd/>
        <w:snapToGrid/>
        <w:textAlignment w:val="auto"/>
        <w:rPr>
          <w:color w:val="auto"/>
        </w:rPr>
      </w:pPr>
    </w:p>
    <w:p>
      <w:pPr>
        <w:keepNext w:val="0"/>
        <w:keepLines w:val="0"/>
        <w:pageBreakBefore w:val="0"/>
        <w:widowControl w:val="0"/>
        <w:kinsoku/>
        <w:wordWrap/>
        <w:overflowPunct/>
        <w:topLinePunct w:val="0"/>
        <w:autoSpaceDE/>
        <w:autoSpaceDN/>
        <w:bidi w:val="0"/>
        <w:adjustRightInd/>
        <w:snapToGrid/>
        <w:textAlignment w:val="auto"/>
        <w:rPr>
          <w:color w:val="auto"/>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5270" w:firstLineChars="1700"/>
        <w:textAlignment w:val="auto"/>
        <w:rPr>
          <w:rFonts w:hint="eastAsia" w:ascii="仿宋_GB2312" w:hAnsi="Times New Roman" w:eastAsia="仿宋_GB2312" w:cs="仿宋_GB2312"/>
          <w:i w:val="0"/>
          <w:caps w:val="0"/>
          <w:color w:val="auto"/>
          <w:spacing w:val="0"/>
          <w:sz w:val="31"/>
          <w:szCs w:val="31"/>
          <w:shd w:val="clear" w:fill="FFFFFF"/>
        </w:rPr>
      </w:pPr>
      <w:r>
        <w:rPr>
          <w:rFonts w:hint="eastAsia" w:ascii="仿宋_GB2312" w:hAnsi="Times New Roman" w:eastAsia="仿宋_GB2312" w:cs="仿宋_GB2312"/>
          <w:i w:val="0"/>
          <w:caps w:val="0"/>
          <w:color w:val="auto"/>
          <w:spacing w:val="0"/>
          <w:sz w:val="31"/>
          <w:szCs w:val="31"/>
          <w:shd w:val="clear" w:fill="FFFFFF"/>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textAlignment w:val="auto"/>
        <w:rPr>
          <w:rFonts w:hint="eastAsia" w:ascii="仿宋_GB2312" w:hAnsi="Times New Roman" w:eastAsia="仿宋_GB2312" w:cs="仿宋_GB2312"/>
          <w:i w:val="0"/>
          <w:caps w:val="0"/>
          <w:color w:val="auto"/>
          <w:spacing w:val="0"/>
          <w:sz w:val="31"/>
          <w:szCs w:val="31"/>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5270" w:firstLineChars="1700"/>
        <w:textAlignment w:val="auto"/>
        <w:rPr>
          <w:color w:val="auto"/>
        </w:rPr>
      </w:pPr>
      <w:r>
        <w:rPr>
          <w:rFonts w:hint="eastAsia" w:ascii="仿宋_GB2312" w:hAnsi="Times New Roman" w:eastAsia="仿宋_GB2312" w:cs="仿宋_GB2312"/>
          <w:i w:val="0"/>
          <w:caps w:val="0"/>
          <w:color w:val="auto"/>
          <w:spacing w:val="0"/>
          <w:sz w:val="31"/>
          <w:szCs w:val="31"/>
          <w:shd w:val="clear" w:fill="FFFFFF"/>
        </w:rPr>
        <w:t>　　　　　　　　</w:t>
      </w:r>
    </w:p>
    <w:bookmarkEnd w:id="0"/>
    <w:sectPr>
      <w:footerReference r:id="rId3" w:type="default"/>
      <w:pgSz w:w="11906" w:h="16838"/>
      <w:pgMar w:top="2098" w:right="1531" w:bottom="1814" w:left="1531" w:header="851" w:footer="1587"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00000287" w:usb1="00000000" w:usb2="00000000" w:usb3="00000000" w:csb0="4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OGJmN2U1OTYyNDQ4ZmM4YTAzZGM1ZmMxYzJlMjYifQ=="/>
  </w:docVars>
  <w:rsids>
    <w:rsidRoot w:val="00000000"/>
    <w:rsid w:val="0349110B"/>
    <w:rsid w:val="035F3198"/>
    <w:rsid w:val="059A0664"/>
    <w:rsid w:val="06C62F02"/>
    <w:rsid w:val="0A9F0617"/>
    <w:rsid w:val="1898706C"/>
    <w:rsid w:val="192E42A3"/>
    <w:rsid w:val="19400C2A"/>
    <w:rsid w:val="1BE07AB0"/>
    <w:rsid w:val="20E57FD0"/>
    <w:rsid w:val="21293293"/>
    <w:rsid w:val="24951254"/>
    <w:rsid w:val="27D53D0D"/>
    <w:rsid w:val="29072CD7"/>
    <w:rsid w:val="2A9760D6"/>
    <w:rsid w:val="2AE821B5"/>
    <w:rsid w:val="2DD528AB"/>
    <w:rsid w:val="2E786470"/>
    <w:rsid w:val="2EB66F99"/>
    <w:rsid w:val="304A16D5"/>
    <w:rsid w:val="31480833"/>
    <w:rsid w:val="31A20A1C"/>
    <w:rsid w:val="331A1D5C"/>
    <w:rsid w:val="33F44AC3"/>
    <w:rsid w:val="37B02C8E"/>
    <w:rsid w:val="3A396AAC"/>
    <w:rsid w:val="3A8F605C"/>
    <w:rsid w:val="3BD827B4"/>
    <w:rsid w:val="4281324F"/>
    <w:rsid w:val="471E30ED"/>
    <w:rsid w:val="4A50736F"/>
    <w:rsid w:val="4D5807B4"/>
    <w:rsid w:val="4EE41DF2"/>
    <w:rsid w:val="519E472F"/>
    <w:rsid w:val="53B95953"/>
    <w:rsid w:val="554A7302"/>
    <w:rsid w:val="5551442A"/>
    <w:rsid w:val="569B1EDF"/>
    <w:rsid w:val="571A23EA"/>
    <w:rsid w:val="5AFC4F27"/>
    <w:rsid w:val="5B5FD02C"/>
    <w:rsid w:val="5CC51108"/>
    <w:rsid w:val="5FFB56EE"/>
    <w:rsid w:val="63D350AF"/>
    <w:rsid w:val="646063F3"/>
    <w:rsid w:val="67CC502D"/>
    <w:rsid w:val="68EC46B7"/>
    <w:rsid w:val="6BDC4BEE"/>
    <w:rsid w:val="6D421F93"/>
    <w:rsid w:val="6D907A90"/>
    <w:rsid w:val="6F96218E"/>
    <w:rsid w:val="725A5F95"/>
    <w:rsid w:val="76873241"/>
    <w:rsid w:val="78757B6F"/>
    <w:rsid w:val="7B620780"/>
    <w:rsid w:val="7B8B1B23"/>
    <w:rsid w:val="7D5D79ED"/>
    <w:rsid w:val="7E2432ED"/>
    <w:rsid w:val="7ED625A7"/>
    <w:rsid w:val="7FDB174F"/>
    <w:rsid w:val="D9EE56C1"/>
    <w:rsid w:val="F1DE9847"/>
    <w:rsid w:val="F8EA3A0F"/>
    <w:rsid w:val="FF3881D4"/>
    <w:rsid w:val="FF5D2EE9"/>
    <w:rsid w:val="FFB69268"/>
    <w:rsid w:val="FFFE21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1956</Words>
  <Characters>2015</Characters>
  <Lines>1</Lines>
  <Paragraphs>1</Paragraphs>
  <ScaleCrop>false</ScaleCrop>
  <LinksUpToDate>false</LinksUpToDate>
  <CharactersWithSpaces>2034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2025-01-28T21:58:00Z</dcterms:created>
  <dc:creator>yuj</dc:creator>
  <cp:lastModifiedBy>LTGX04</cp:lastModifiedBy>
  <cp:lastPrinted>2025-02-06T23:10:00Z</cp:lastPrinted>
  <dcterms:modified xsi:type="dcterms:W3CDTF">2025-02-08T08:31:37Z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41CA773A2205452C84AEAA289614164C_12</vt:lpwstr>
  </property>
</Properties>
</file>