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leftChars="0" w:firstLine="0" w:firstLineChars="0"/>
        <w:jc w:val="center"/>
        <w:textAlignment w:val="auto"/>
        <w:rPr>
          <w:rFonts w:hint="eastAsia" w:ascii="仿宋_GB2312" w:hAnsi="仿宋_GB2312" w:eastAsia="仿宋_GB2312" w:cs="仿宋_GB2312"/>
          <w:snapToGrid/>
          <w:color w:val="auto"/>
          <w:spacing w:val="0"/>
          <w:kern w:val="2"/>
          <w:sz w:val="32"/>
          <w:szCs w:val="32"/>
          <w:highlight w:val="none"/>
          <w:lang w:val="en-US" w:eastAsia="zh-CN"/>
        </w:rPr>
      </w:pPr>
      <w:r>
        <w:rPr>
          <w:rFonts w:hint="eastAsia" w:ascii="仿宋_GB2312" w:hAnsi="仿宋_GB2312" w:eastAsia="仿宋_GB2312" w:cs="仿宋_GB2312"/>
          <w:snapToGrid/>
          <w:color w:val="auto"/>
          <w:spacing w:val="0"/>
          <w:kern w:val="2"/>
          <w:sz w:val="32"/>
          <w:szCs w:val="32"/>
          <w:highlight w:val="none"/>
          <w:lang w:val="en-US" w:eastAsia="zh-CN"/>
        </w:rPr>
        <w:t>鲁人社字〔2024〕102号</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left="0" w:leftChars="0" w:right="0" w:rightChars="0"/>
        <w:jc w:val="center"/>
        <w:textAlignment w:val="auto"/>
        <w:rPr>
          <w:rFonts w:hint="eastAsia" w:ascii="仿宋_GB2312" w:eastAsia="仿宋_GB2312" w:cs="仿宋_GB2312" w:hAnsiTheme="minorHAnsi"/>
          <w:color w:val="auto"/>
          <w:kern w:val="2"/>
          <w:sz w:val="32"/>
          <w:szCs w:val="32"/>
          <w:lang w:val="en-US" w:eastAsia="zh-CN" w:bidi="ar"/>
        </w:rPr>
      </w:pPr>
      <w:r>
        <w:rPr>
          <w:rFonts w:hint="eastAsia" w:ascii="方正小标宋简体" w:hAnsi="方正小标宋简体" w:eastAsia="方正小标宋简体" w:cs="方正小标宋简体"/>
          <w:b w:val="0"/>
          <w:bCs w:val="0"/>
          <w:i w:val="0"/>
          <w:caps w:val="0"/>
          <w:color w:val="auto"/>
          <w:spacing w:val="0"/>
          <w:sz w:val="44"/>
          <w:szCs w:val="44"/>
          <w:u w:val="none"/>
        </w:rPr>
        <w:t>山东省</w:t>
      </w:r>
      <w:r>
        <w:rPr>
          <w:rFonts w:hint="eastAsia" w:ascii="方正小标宋简体" w:hAnsi="方正小标宋简体" w:eastAsia="方正小标宋简体" w:cs="方正小标宋简体"/>
          <w:b w:val="0"/>
          <w:bCs w:val="0"/>
          <w:i w:val="0"/>
          <w:caps w:val="0"/>
          <w:color w:val="auto"/>
          <w:spacing w:val="0"/>
          <w:sz w:val="44"/>
          <w:szCs w:val="44"/>
          <w:u w:val="none"/>
          <w:lang w:val="en-US" w:eastAsia="zh-CN"/>
        </w:rPr>
        <w:t>人力资源和社会保障厅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0" w:firstLineChars="0"/>
        <w:jc w:val="center"/>
        <w:textAlignment w:val="auto"/>
        <w:rPr>
          <w:rFonts w:hint="eastAsia" w:ascii="方正小标宋简体" w:hAnsi="方正小标宋简体" w:eastAsia="方正小标宋简体" w:cs="方正小标宋简体"/>
          <w:caps w:val="0"/>
          <w:color w:val="auto"/>
          <w:spacing w:val="0"/>
          <w:kern w:val="2"/>
          <w:sz w:val="44"/>
          <w:szCs w:val="44"/>
          <w:lang w:val="en-US" w:eastAsia="zh-CN" w:bidi="ar"/>
        </w:rPr>
      </w:pPr>
      <w:r>
        <w:rPr>
          <w:rFonts w:hint="eastAsia" w:ascii="方正小标宋简体" w:hAnsi="方正小标宋简体" w:eastAsia="方正小标宋简体" w:cs="方正小标宋简体"/>
          <w:caps w:val="0"/>
          <w:color w:val="auto"/>
          <w:spacing w:val="0"/>
          <w:kern w:val="2"/>
          <w:sz w:val="44"/>
          <w:szCs w:val="44"/>
          <w:lang w:val="en-US" w:eastAsia="zh-CN" w:bidi="ar"/>
        </w:rPr>
        <w:t>关于印发</w:t>
      </w:r>
      <w:r>
        <w:rPr>
          <w:rFonts w:hint="eastAsia" w:ascii="方正小标宋简体" w:hAnsi="方正小标宋简体" w:eastAsia="方正小标宋简体" w:cs="方正小标宋简体"/>
          <w:caps w:val="0"/>
          <w:color w:val="auto"/>
          <w:spacing w:val="0"/>
          <w:kern w:val="2"/>
          <w:sz w:val="44"/>
          <w:szCs w:val="44"/>
          <w:lang w:val="en-US" w:eastAsia="zh" w:bidi="ar"/>
        </w:rPr>
        <w:t>《</w:t>
      </w:r>
      <w:r>
        <w:rPr>
          <w:rFonts w:hint="eastAsia" w:ascii="方正小标宋简体" w:hAnsi="方正小标宋简体" w:eastAsia="方正小标宋简体" w:cs="方正小标宋简体"/>
          <w:caps w:val="0"/>
          <w:color w:val="auto"/>
          <w:spacing w:val="0"/>
          <w:kern w:val="2"/>
          <w:sz w:val="44"/>
          <w:szCs w:val="44"/>
          <w:lang w:val="en-US" w:eastAsia="zh-CN" w:bidi="ar"/>
        </w:rPr>
        <w:t>山东省劳动人事争议仲裁专家库</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0" w:firstLineChars="0"/>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b w:val="0"/>
          <w:caps w:val="0"/>
          <w:color w:val="auto"/>
          <w:spacing w:val="0"/>
          <w:kern w:val="2"/>
          <w:sz w:val="44"/>
          <w:szCs w:val="44"/>
          <w:lang w:val="en-US" w:eastAsia="zh-CN" w:bidi="ar"/>
        </w:rPr>
        <w:t>管理办法</w:t>
      </w:r>
      <w:r>
        <w:rPr>
          <w:rFonts w:hint="default" w:ascii="方正小标宋简体" w:hAnsi="方正小标宋简体" w:eastAsia="方正小标宋简体" w:cs="方正小标宋简体"/>
          <w:b w:val="0"/>
          <w:caps w:val="0"/>
          <w:color w:val="auto"/>
          <w:spacing w:val="0"/>
          <w:kern w:val="2"/>
          <w:sz w:val="44"/>
          <w:szCs w:val="44"/>
          <w:lang w:eastAsia="zh-CN" w:bidi="ar"/>
        </w:rPr>
        <w:t>（试行）</w:t>
      </w:r>
      <w:r>
        <w:rPr>
          <w:rFonts w:hint="eastAsia" w:ascii="方正小标宋简体" w:hAnsi="方正小标宋简体" w:eastAsia="方正小标宋简体" w:cs="方正小标宋简体"/>
          <w:b w:val="0"/>
          <w:caps w:val="0"/>
          <w:color w:val="auto"/>
          <w:spacing w:val="0"/>
          <w:kern w:val="2"/>
          <w:sz w:val="44"/>
          <w:szCs w:val="44"/>
          <w:lang w:eastAsia="zh" w:bidi="ar"/>
        </w:rPr>
        <w:t>》</w:t>
      </w:r>
      <w:r>
        <w:rPr>
          <w:rFonts w:hint="eastAsia" w:ascii="方正小标宋简体" w:hAnsi="方正小标宋简体" w:eastAsia="方正小标宋简体" w:cs="方正小标宋简体"/>
          <w:i w:val="0"/>
          <w:color w:val="auto"/>
          <w:kern w:val="0"/>
          <w:sz w:val="44"/>
          <w:szCs w:val="44"/>
          <w:u w:val="none"/>
          <w:lang w:val="en-US" w:eastAsia="zh-CN" w:bidi="ar"/>
        </w:rPr>
        <w:t>的通知</w:t>
      </w:r>
    </w:p>
    <w:p>
      <w:pPr>
        <w:keepNext w:val="0"/>
        <w:keepLines w:val="0"/>
        <w:pageBreakBefore w:val="0"/>
        <w:widowControl w:val="0"/>
        <w:suppressLineNumbers w:val="0"/>
        <w:kinsoku/>
        <w:wordWrap/>
        <w:overflowPunct/>
        <w:topLinePunct w:val="0"/>
        <w:autoSpaceDE/>
        <w:autoSpaceDN/>
        <w:bidi w:val="0"/>
        <w:adjustRightInd/>
        <w:snapToGrid/>
        <w:spacing w:line="536" w:lineRule="exact"/>
        <w:ind w:left="0" w:leftChars="0" w:right="0" w:rightChars="0"/>
        <w:jc w:val="center"/>
        <w:textAlignment w:val="top"/>
        <w:rPr>
          <w:rFonts w:hint="default" w:ascii="方正小标宋简体" w:hAnsi="方正小标宋简体" w:eastAsia="方正小标宋简体" w:cs="方正小标宋简体"/>
          <w:i w:val="0"/>
          <w:color w:val="auto"/>
          <w:kern w:val="0"/>
          <w:sz w:val="44"/>
          <w:szCs w:val="44"/>
          <w:u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36" w:lineRule="exact"/>
        <w:ind w:left="0" w:leftChars="0" w:right="0" w:rightChars="0"/>
        <w:jc w:val="both"/>
        <w:textAlignment w:val="top"/>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各市人力资源社会保障局，各有关单位：</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为加强对劳动人事争议仲裁专家库的管理，</w:t>
      </w:r>
      <w:r>
        <w:rPr>
          <w:rFonts w:hint="eastAsia" w:ascii="仿宋_GB2312" w:hAnsi="仿宋_GB2312" w:eastAsia="仿宋_GB2312" w:cs="仿宋_GB2312"/>
          <w:b w:val="0"/>
          <w:bCs w:val="0"/>
          <w:color w:val="auto"/>
          <w:sz w:val="32"/>
          <w:szCs w:val="40"/>
          <w:lang w:val="en-US" w:eastAsia="zh"/>
        </w:rPr>
        <w:t>根据</w:t>
      </w:r>
      <w:r>
        <w:rPr>
          <w:rFonts w:hint="eastAsia" w:ascii="仿宋_GB2312" w:hAnsi="仿宋_GB2312" w:eastAsia="仿宋_GB2312" w:cs="仿宋_GB2312"/>
          <w:b w:val="0"/>
          <w:bCs w:val="0"/>
          <w:color w:val="auto"/>
          <w:sz w:val="32"/>
          <w:szCs w:val="40"/>
          <w:lang w:val="en-US" w:eastAsia="zh-CN"/>
        </w:rPr>
        <w:t>《中华人民共和国劳动争议调解仲裁法》《山东省劳动人事争议调解仲裁条例》等法律法规规定，</w:t>
      </w:r>
      <w:r>
        <w:rPr>
          <w:rFonts w:hint="eastAsia" w:ascii="仿宋_GB2312" w:hAnsi="仿宋_GB2312" w:eastAsia="仿宋_GB2312" w:cs="仿宋_GB2312"/>
          <w:b w:val="0"/>
          <w:bCs w:val="0"/>
          <w:color w:val="auto"/>
          <w:sz w:val="32"/>
          <w:szCs w:val="40"/>
          <w:lang w:val="en-US" w:eastAsia="zh"/>
        </w:rPr>
        <w:t>现将</w:t>
      </w:r>
      <w:r>
        <w:rPr>
          <w:rFonts w:hint="eastAsia" w:ascii="仿宋_GB2312" w:hAnsi="仿宋_GB2312" w:eastAsia="仿宋_GB2312" w:cs="仿宋_GB2312"/>
          <w:b w:val="0"/>
          <w:bCs w:val="0"/>
          <w:color w:val="auto"/>
          <w:sz w:val="32"/>
          <w:szCs w:val="40"/>
          <w:lang w:val="en-US" w:eastAsia="zh-CN"/>
        </w:rPr>
        <w:t>《山东省劳动人事争议仲裁专家库管理办法（试行）》印发给你们，请</w:t>
      </w:r>
      <w:r>
        <w:rPr>
          <w:rFonts w:hint="eastAsia" w:ascii="仿宋_GB2312" w:hAnsi="仿宋_GB2312" w:eastAsia="仿宋_GB2312" w:cs="仿宋_GB2312"/>
          <w:b w:val="0"/>
          <w:bCs w:val="0"/>
          <w:color w:val="auto"/>
          <w:sz w:val="32"/>
          <w:szCs w:val="40"/>
          <w:lang w:val="en-US" w:eastAsia="zh"/>
        </w:rPr>
        <w:t>遵照执行</w:t>
      </w:r>
      <w:r>
        <w:rPr>
          <w:rFonts w:hint="eastAsia" w:ascii="仿宋_GB2312" w:hAnsi="仿宋_GB2312" w:eastAsia="仿宋_GB2312" w:cs="仿宋_GB2312"/>
          <w:b w:val="0"/>
          <w:bCs w:val="0"/>
          <w:color w:val="auto"/>
          <w:sz w:val="32"/>
          <w:szCs w:val="40"/>
          <w:lang w:val="en-US" w:eastAsia="zh-CN"/>
        </w:rPr>
        <w:t>，切实做好有关工作。</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firstLine="3792" w:firstLineChars="1200"/>
        <w:jc w:val="center"/>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36" w:lineRule="exact"/>
        <w:ind w:firstLine="3792" w:firstLineChars="1200"/>
        <w:jc w:val="center"/>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2024年11月28日</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default" w:ascii="仿宋_GB2312" w:hAnsi="仿宋_GB2312" w:eastAsia="仿宋_GB2312" w:cs="仿宋_GB2312"/>
          <w:b w:val="0"/>
          <w:bCs w:val="0"/>
          <w:color w:val="auto"/>
          <w:sz w:val="32"/>
          <w:szCs w:val="40"/>
          <w:lang w:val="en-US" w:eastAsia="zh-CN"/>
        </w:rPr>
      </w:pPr>
      <w:r>
        <w:rPr>
          <w:rFonts w:hint="default" w:ascii="仿宋_GB2312" w:hAnsi="仿宋_GB2312" w:eastAsia="仿宋_GB2312" w:cs="仿宋_GB2312"/>
          <w:b w:val="0"/>
          <w:bCs w:val="0"/>
          <w:color w:val="auto"/>
          <w:sz w:val="32"/>
          <w:szCs w:val="40"/>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default" w:ascii="仿宋_GB2312" w:hAnsi="仿宋_GB2312" w:eastAsia="仿宋_GB2312" w:cs="仿宋_GB2312"/>
          <w:b w:val="0"/>
          <w:bCs w:val="0"/>
          <w:color w:val="auto"/>
          <w:sz w:val="32"/>
          <w:szCs w:val="40"/>
          <w:lang w:val="en-US" w:eastAsia="zh-CN"/>
        </w:rPr>
      </w:pPr>
      <w:r>
        <w:rPr>
          <w:rFonts w:hint="default" w:ascii="仿宋_GB2312" w:hAnsi="仿宋_GB2312" w:eastAsia="仿宋_GB2312" w:cs="仿宋_GB2312"/>
          <w:b w:val="0"/>
          <w:bCs w:val="0"/>
          <w:color w:val="auto"/>
          <w:sz w:val="32"/>
          <w:szCs w:val="40"/>
          <w:lang w:val="en-US" w:eastAsia="zh-CN"/>
        </w:rPr>
        <w:t>（联系单位：调解仲裁管理处、</w:t>
      </w:r>
      <w:r>
        <w:rPr>
          <w:rFonts w:hint="eastAsia" w:ascii="仿宋_GB2312" w:hAnsi="仿宋_GB2312" w:eastAsia="仿宋_GB2312" w:cs="仿宋_GB2312"/>
          <w:b w:val="0"/>
          <w:bCs w:val="0"/>
          <w:color w:val="auto"/>
          <w:sz w:val="32"/>
          <w:szCs w:val="40"/>
          <w:lang w:val="en-US" w:eastAsia="zh-CN"/>
        </w:rPr>
        <w:t>省劳动人事争议仲裁院</w:t>
      </w:r>
      <w:r>
        <w:rPr>
          <w:rFonts w:hint="default" w:ascii="仿宋_GB2312" w:hAnsi="仿宋_GB2312" w:eastAsia="仿宋_GB2312" w:cs="仿宋_GB2312"/>
          <w:b w:val="0"/>
          <w:bCs w:val="0"/>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br w:type="page"/>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0" w:firstLineChars="0"/>
        <w:jc w:val="center"/>
        <w:textAlignment w:val="auto"/>
        <w:rPr>
          <w:rFonts w:hint="eastAsia" w:ascii="方正小标宋简体" w:hAnsi="方正小标宋简体" w:eastAsia="方正小标宋简体" w:cs="方正小标宋简体"/>
          <w:caps w:val="0"/>
          <w:color w:val="auto"/>
          <w:spacing w:val="0"/>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0" w:firstLineChars="0"/>
        <w:jc w:val="center"/>
        <w:textAlignment w:val="auto"/>
        <w:rPr>
          <w:rFonts w:hint="eastAsia" w:ascii="方正小标宋简体" w:hAnsi="方正小标宋简体" w:eastAsia="方正小标宋简体" w:cs="方正小标宋简体"/>
          <w:b w:val="0"/>
          <w:caps w:val="0"/>
          <w:color w:val="auto"/>
          <w:spacing w:val="0"/>
          <w:kern w:val="2"/>
          <w:sz w:val="44"/>
          <w:szCs w:val="44"/>
          <w:lang w:val="en-US" w:eastAsia="zh-CN" w:bidi="ar"/>
        </w:rPr>
      </w:pPr>
      <w:r>
        <w:rPr>
          <w:rFonts w:hint="eastAsia" w:ascii="方正小标宋简体" w:hAnsi="方正小标宋简体" w:eastAsia="方正小标宋简体" w:cs="方正小标宋简体"/>
          <w:caps w:val="0"/>
          <w:color w:val="auto"/>
          <w:spacing w:val="0"/>
          <w:kern w:val="2"/>
          <w:sz w:val="44"/>
          <w:szCs w:val="44"/>
          <w:lang w:val="en-US" w:eastAsia="zh-CN" w:bidi="ar"/>
        </w:rPr>
        <w:t>山东省劳动人事争议仲裁专家库</w:t>
      </w:r>
      <w:r>
        <w:rPr>
          <w:rFonts w:hint="eastAsia" w:ascii="方正小标宋简体" w:hAnsi="方正小标宋简体" w:eastAsia="方正小标宋简体" w:cs="方正小标宋简体"/>
          <w:b w:val="0"/>
          <w:caps w:val="0"/>
          <w:color w:val="auto"/>
          <w:spacing w:val="0"/>
          <w:kern w:val="2"/>
          <w:sz w:val="44"/>
          <w:szCs w:val="44"/>
          <w:lang w:val="en-US" w:eastAsia="zh-CN" w:bidi="ar"/>
        </w:rPr>
        <w:t>管理办法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0" w:firstLineChars="0"/>
        <w:jc w:val="center"/>
        <w:textAlignment w:val="auto"/>
        <w:rPr>
          <w:rFonts w:hint="eastAsia" w:ascii="方正小标宋简体" w:hAnsi="方正小标宋简体" w:eastAsia="方正小标宋简体" w:cs="方正小标宋简体"/>
          <w:b w:val="0"/>
          <w:caps w:val="0"/>
          <w:color w:val="auto"/>
          <w:spacing w:val="0"/>
          <w:kern w:val="2"/>
          <w:sz w:val="44"/>
          <w:szCs w:val="44"/>
          <w:lang w:val="en-US" w:eastAsia="zh-CN" w:bidi="ar"/>
        </w:rPr>
      </w:pPr>
      <w:r>
        <w:rPr>
          <w:rFonts w:hint="eastAsia" w:ascii="方正小标宋简体" w:hAnsi="方正小标宋简体" w:eastAsia="方正小标宋简体" w:cs="方正小标宋简体"/>
          <w:b w:val="0"/>
          <w:caps w:val="0"/>
          <w:color w:val="auto"/>
          <w:spacing w:val="0"/>
          <w:kern w:val="2"/>
          <w:sz w:val="44"/>
          <w:szCs w:val="44"/>
          <w:lang w:val="en-US" w:eastAsia="zh-CN" w:bidi="ar"/>
        </w:rPr>
        <w:t>（试行）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632" w:firstLineChars="200"/>
        <w:jc w:val="both"/>
        <w:textAlignment w:val="auto"/>
        <w:rPr>
          <w:rFonts w:hint="eastAsia" w:ascii="黑体" w:hAnsi="黑体" w:eastAsia="黑体" w:cs="黑体"/>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632" w:firstLineChars="2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olor w:val="auto"/>
          <w:kern w:val="2"/>
          <w:sz w:val="32"/>
          <w:szCs w:val="32"/>
          <w:lang w:val="en-US" w:eastAsia="zh-CN" w:bidi="ar"/>
        </w:rPr>
        <w:t>第一条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b w:val="0"/>
          <w:bCs w:val="0"/>
          <w:color w:val="auto"/>
          <w:sz w:val="32"/>
          <w:szCs w:val="40"/>
          <w:lang w:val="en-US" w:eastAsia="zh-CN"/>
        </w:rPr>
        <w:t>为健全劳动人事争议仲裁专家库制度，加强对劳动人事争议仲裁专家库的管理，充分发挥专家库成员在劳动人事争议仲裁理论研究、政策制定、办案指导等方面的智力支撑作用，</w:t>
      </w:r>
      <w:r>
        <w:rPr>
          <w:rFonts w:hint="eastAsia" w:ascii="仿宋_GB2312" w:hAnsi="仿宋_GB2312" w:eastAsia="仿宋_GB2312" w:cs="仿宋_GB2312"/>
          <w:b w:val="0"/>
          <w:bCs w:val="0"/>
          <w:color w:val="auto"/>
          <w:sz w:val="32"/>
          <w:szCs w:val="40"/>
          <w:lang w:val="en-US" w:eastAsia="zh"/>
        </w:rPr>
        <w:t>根据</w:t>
      </w:r>
      <w:r>
        <w:rPr>
          <w:rFonts w:hint="eastAsia" w:ascii="仿宋_GB2312" w:hAnsi="仿宋_GB2312" w:eastAsia="仿宋_GB2312" w:cs="仿宋_GB2312"/>
          <w:b w:val="0"/>
          <w:bCs w:val="0"/>
          <w:color w:val="auto"/>
          <w:sz w:val="32"/>
          <w:szCs w:val="40"/>
          <w:lang w:val="en-US" w:eastAsia="zh-CN"/>
        </w:rPr>
        <w:t>《中华人民共和国劳动争议调解仲裁法》《山东省劳动人事争议调解仲裁条例》等法律法规规定，制定本办法。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632" w:firstLineChars="2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olor w:val="auto"/>
          <w:kern w:val="2"/>
          <w:sz w:val="32"/>
          <w:szCs w:val="32"/>
          <w:lang w:val="en-US" w:eastAsia="zh-CN" w:bidi="ar"/>
        </w:rPr>
        <w:t>第二条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b w:val="0"/>
          <w:bCs w:val="0"/>
          <w:color w:val="auto"/>
          <w:sz w:val="32"/>
          <w:szCs w:val="40"/>
          <w:lang w:val="en-US" w:eastAsia="zh-CN"/>
        </w:rPr>
        <w:t>本办法适用于山东省劳动人事争议仲裁专家库的建设、运行和管理。</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olor w:val="auto"/>
          <w:kern w:val="2"/>
          <w:sz w:val="32"/>
          <w:szCs w:val="32"/>
          <w:lang w:val="en-US" w:eastAsia="zh-CN" w:bidi="ar"/>
        </w:rPr>
        <w:t>第三条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b w:val="0"/>
          <w:bCs w:val="0"/>
          <w:color w:val="auto"/>
          <w:sz w:val="32"/>
          <w:szCs w:val="40"/>
          <w:lang w:val="en-US" w:eastAsia="zh-CN"/>
        </w:rPr>
        <w:t>专家库成员应具备以下条件：</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（一）拥护党的路线方针政策,遵守国家法律法规,政治过硬、品德高尚、公道正派、作风严谨，具有良好的职业操守，无不良行为和信用记录；</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（二）熟悉劳动关系领域法律法规政策，具有较强的理论研究水平，在所从事的工作领域有一定的社会知名度和影响力;</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（三）在职仲裁员应具有5年以上聘任经历，仲裁办案经验丰富，曾成功化解重大疑难复杂矛盾纠纷或者成功处理重大集体劳动人事争议案件；</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（四）专家学者应在劳动法学领域具有较高建树，退休仲裁员和退休法官应具备5年以上劳动人事争议处理工作经验；</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（五）具有正常履行专家库成员职责的身体条件。</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olor w:val="auto"/>
          <w:kern w:val="2"/>
          <w:sz w:val="32"/>
          <w:szCs w:val="32"/>
          <w:lang w:val="en-US" w:eastAsia="zh-CN" w:bidi="ar"/>
        </w:rPr>
        <w:t xml:space="preserve">第四条 </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b w:val="0"/>
          <w:bCs w:val="0"/>
          <w:color w:val="auto"/>
          <w:sz w:val="32"/>
          <w:szCs w:val="40"/>
          <w:lang w:val="en-US" w:eastAsia="zh-CN"/>
        </w:rPr>
        <w:t>专家库成员应承担以下职责：</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（一）为重大、疑难和复杂劳动人事争议处理提供专业意见；</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（二）参与典型案例、疑难问题研讨、案件质量评查及重要课题调研；</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（三）为全省劳动人事争议仲裁重要理论研究、重大政策制定提供建设性意见建议；</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（四）受邀对劳动人事争议调解仲裁队伍进行业务培训；</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（五）参与劳动关系领域法律法规政策宣传普及工作。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632" w:firstLineChars="2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olor w:val="auto"/>
          <w:kern w:val="2"/>
          <w:sz w:val="32"/>
          <w:szCs w:val="32"/>
          <w:lang w:val="en-US" w:eastAsia="zh-CN" w:bidi="ar"/>
        </w:rPr>
        <w:t>第五条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b w:val="0"/>
          <w:bCs w:val="0"/>
          <w:color w:val="auto"/>
          <w:sz w:val="32"/>
          <w:szCs w:val="40"/>
          <w:lang w:val="en-US" w:eastAsia="zh-CN"/>
        </w:rPr>
        <w:t>未经省人力资源社会保障厅批准，专家库成员不得以在库专家名义组织或参加任何活动。本人或近亲属与所委派的事项有利害关系或有其他关系，可能影响公正结论的，应当回避。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632" w:firstLineChars="2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olor w:val="auto"/>
          <w:kern w:val="2"/>
          <w:sz w:val="32"/>
          <w:szCs w:val="32"/>
          <w:lang w:val="en-US" w:eastAsia="zh-CN" w:bidi="ar"/>
        </w:rPr>
        <w:t>第六条</w:t>
      </w:r>
      <w:r>
        <w:rPr>
          <w:rFonts w:hint="eastAsia" w:ascii="仿宋_GB2312" w:hAnsi="仿宋_GB2312" w:eastAsia="仿宋_GB2312" w:cs="仿宋_GB2312"/>
          <w:color w:val="auto"/>
          <w:kern w:val="2"/>
          <w:sz w:val="32"/>
          <w:szCs w:val="32"/>
          <w:lang w:val="en-US" w:eastAsia="zh-CN" w:bidi="ar"/>
        </w:rPr>
        <w:t xml:space="preserve">  入</w:t>
      </w:r>
      <w:r>
        <w:rPr>
          <w:rFonts w:hint="eastAsia" w:ascii="仿宋_GB2312" w:hAnsi="仿宋_GB2312" w:eastAsia="仿宋_GB2312" w:cs="仿宋_GB2312"/>
          <w:b w:val="0"/>
          <w:bCs w:val="0"/>
          <w:color w:val="auto"/>
          <w:sz w:val="32"/>
          <w:szCs w:val="40"/>
          <w:lang w:val="en-US" w:eastAsia="zh-CN"/>
        </w:rPr>
        <w:t>选专家库，应履行以下程序：省人力资源社会保障厅启动征选程序后，由部门单位推荐，省直部门或市、县级人力资源社会保障部门进行初审后择优上报，省人力资源社会保障厅负责复核并组织专业评审，产生拟聘专家名单后进行公示，经公示无异议的，发文公布并颁发聘书。</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olor w:val="auto"/>
          <w:kern w:val="2"/>
          <w:sz w:val="32"/>
          <w:szCs w:val="32"/>
          <w:lang w:val="en-US" w:eastAsia="zh-CN" w:bidi="ar"/>
        </w:rPr>
        <w:t>第七条</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b w:val="0"/>
          <w:bCs w:val="0"/>
          <w:color w:val="auto"/>
          <w:sz w:val="32"/>
          <w:szCs w:val="40"/>
          <w:lang w:val="en-US" w:eastAsia="zh-CN"/>
        </w:rPr>
        <w:t>专家库成员聘期三年，实行动态管理，任期届满可根据复核和个人意愿确定是否续聘。超过聘期不再续聘的，自动失去专家库成员资格。专家库成员有以下情形之一的，经研究后予以解聘：</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（一）本人或所在单位提出不再担任专家库成员的；</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（二）因身体状况、工作变动、能力素质等原因不能继续履行专家库成员职责的；</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（三）无正当理由，一年内累计2次以上（因病、外出等不可抗力原因除外）不接受委派工作的；</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（四）因从事委派工作不力，造成不良影响或后果的；</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（五）以权谋私，违反职业道德，接受有关单位或个人的馈赠、宴请，以专家库成员的特殊地位和影响力从事其他业务活动，为自己或所在单位谋取不正当利益的；</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（六）违反法律法规或受到党纪、政务处分，不宜继续履行专家库成员职责的；</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（七）有失信行为，被纳入失信被执行人名单的。</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不再续聘或解聘的，收回聘书，通报所在单位，并在省人力资源社会保障厅官方网站上予以公告。</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aps w:val="0"/>
          <w:color w:val="auto"/>
          <w:spacing w:val="0"/>
          <w:kern w:val="0"/>
          <w:sz w:val="32"/>
          <w:szCs w:val="32"/>
          <w:lang w:eastAsia="zh-CN" w:bidi="ar"/>
        </w:rPr>
        <w:t>第八条</w:t>
      </w:r>
      <w:r>
        <w:rPr>
          <w:rFonts w:hint="eastAsia" w:ascii="黑体" w:hAnsi="黑体" w:eastAsia="黑体" w:cs="黑体"/>
          <w:caps w:val="0"/>
          <w:color w:val="auto"/>
          <w:spacing w:val="0"/>
          <w:kern w:val="0"/>
          <w:sz w:val="32"/>
          <w:szCs w:val="32"/>
          <w:lang w:val="en-US" w:eastAsia="zh-CN" w:bidi="ar"/>
        </w:rPr>
        <w:t xml:space="preserve"> </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b w:val="0"/>
          <w:bCs w:val="0"/>
          <w:color w:val="auto"/>
          <w:sz w:val="32"/>
          <w:szCs w:val="40"/>
          <w:lang w:val="en-US" w:eastAsia="zh-CN"/>
        </w:rPr>
        <w:t>省人力资源社会保障厅调解仲裁处负责专家库的动态维护以及日常管理工作，省劳动人事争议仲裁院协助做好有关工作。需做好以下管理工作：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（一）按照本办法组织专家库成员选聘、审核、发放聘书、复核、续聘、解聘等工作；</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（二）协调专家库成员参加有关工作，做好相应组织管理；</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（三）做好专家库的录入、管理和维护，建立工作档案，对专家的工作情况进行定期评估；</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（四）需要管理的其他事项。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6" w:lineRule="exact"/>
        <w:ind w:left="0" w:leftChars="0" w:right="0" w:rightChars="0" w:firstLine="632" w:firstLineChars="200"/>
        <w:jc w:val="both"/>
        <w:textAlignment w:val="auto"/>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olor w:val="auto"/>
          <w:kern w:val="2"/>
          <w:sz w:val="32"/>
          <w:szCs w:val="32"/>
          <w:lang w:val="en-US" w:eastAsia="zh-CN" w:bidi="ar"/>
        </w:rPr>
        <w:t xml:space="preserve">第九条 </w:t>
      </w:r>
      <w:r>
        <w:rPr>
          <w:rFonts w:hint="eastAsia" w:ascii="仿宋_GB2312" w:hAnsi="仿宋_GB2312" w:eastAsia="仿宋_GB2312" w:cs="仿宋_GB2312"/>
          <w:color w:val="auto"/>
          <w:kern w:val="2"/>
          <w:sz w:val="32"/>
          <w:szCs w:val="32"/>
          <w:lang w:val="en-US" w:eastAsia="zh-CN" w:bidi="ar"/>
        </w:rPr>
        <w:t xml:space="preserve"> </w:t>
      </w:r>
      <w:r>
        <w:rPr>
          <w:rFonts w:hint="eastAsia" w:ascii="仿宋_GB2312" w:hAnsi="仿宋_GB2312" w:eastAsia="仿宋_GB2312" w:cs="仿宋_GB2312"/>
          <w:b w:val="0"/>
          <w:bCs w:val="0"/>
          <w:color w:val="auto"/>
          <w:sz w:val="32"/>
          <w:szCs w:val="40"/>
          <w:lang w:val="en-US" w:eastAsia="zh-CN"/>
        </w:rPr>
        <w:t>本办法由山东省人力资源和社会保障厅负责解释。</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32" w:firstLineChars="200"/>
        <w:textAlignment w:val="auto"/>
        <w:outlineLvl w:val="9"/>
        <w:rPr>
          <w:rFonts w:hint="eastAsia" w:ascii="仿宋_GB2312" w:hAnsi="仿宋_GB2312" w:eastAsia="仿宋_GB2312" w:cs="仿宋_GB2312"/>
          <w:b w:val="0"/>
          <w:bCs w:val="0"/>
          <w:color w:val="auto"/>
          <w:sz w:val="32"/>
          <w:szCs w:val="40"/>
          <w:lang w:val="en-US" w:eastAsia="zh-CN"/>
        </w:rPr>
      </w:pPr>
      <w:r>
        <w:rPr>
          <w:rFonts w:hint="eastAsia" w:ascii="黑体" w:hAnsi="黑体" w:eastAsia="黑体" w:cs="黑体"/>
          <w:color w:val="auto"/>
          <w:kern w:val="2"/>
          <w:sz w:val="32"/>
          <w:szCs w:val="32"/>
          <w:lang w:val="en-US" w:eastAsia="zh-CN" w:bidi="ar"/>
        </w:rPr>
        <w:t xml:space="preserve">第十条 </w:t>
      </w:r>
      <w:r>
        <w:rPr>
          <w:rFonts w:hint="eastAsia" w:ascii="仿宋_GB2312" w:hAnsi="仿宋_GB2312" w:eastAsia="仿宋_GB2312" w:cs="仿宋_GB2312"/>
          <w:b w:val="0"/>
          <w:bCs w:val="0"/>
          <w:color w:val="auto"/>
          <w:sz w:val="32"/>
          <w:szCs w:val="40"/>
          <w:lang w:val="en-US" w:eastAsia="zh-CN"/>
        </w:rPr>
        <w:t xml:space="preserve"> 本办法自印</w:t>
      </w:r>
      <w:bookmarkStart w:id="0" w:name="_GoBack"/>
      <w:bookmarkEnd w:id="0"/>
      <w:r>
        <w:rPr>
          <w:rFonts w:hint="eastAsia" w:ascii="仿宋_GB2312" w:hAnsi="仿宋_GB2312" w:eastAsia="仿宋_GB2312" w:cs="仿宋_GB2312"/>
          <w:b w:val="0"/>
          <w:bCs w:val="0"/>
          <w:color w:val="auto"/>
          <w:sz w:val="32"/>
          <w:szCs w:val="40"/>
          <w:lang w:val="en-US" w:eastAsia="zh-CN"/>
        </w:rPr>
        <w:t>发之日起施行。</w:t>
      </w:r>
    </w:p>
    <w:p>
      <w:pPr>
        <w:keepNext w:val="0"/>
        <w:keepLines w:val="0"/>
        <w:pageBreakBefore w:val="0"/>
        <w:widowControl/>
        <w:kinsoku w:val="0"/>
        <w:wordWrap/>
        <w:overflowPunct/>
        <w:topLinePunct w:val="0"/>
        <w:autoSpaceDE w:val="0"/>
        <w:autoSpaceDN w:val="0"/>
        <w:bidi w:val="0"/>
        <w:adjustRightInd w:val="0"/>
        <w:snapToGrid w:val="0"/>
        <w:spacing w:line="536"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36" w:lineRule="exact"/>
        <w:textAlignment w:val="baseline"/>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eastAsia="仿宋_GB2312"/>
          <w:color w:val="auto"/>
          <w:sz w:val="28"/>
          <w:szCs w:val="28"/>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42.2pt;z-index:251660288;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1AuU1AAAAAQBAAAPAAAAAAAAAAEAIAAAACIAAABkcnMvZG93bnJldi54bWxQ&#10;SwECFAAUAAAACACHTuJADWs+hvsBAADzAwAADgAAAAAAAAABACAAAAAjAQAAZHJzL2Uyb0RvYy54&#10;bWxQSwUGAAAAAAYABgBZAQAAkA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color w:val="auto"/>
        </w:rPr>
      </w:pPr>
      <w:r>
        <w:rPr>
          <w:rFonts w:hint="eastAsia"/>
          <w:color w:val="auto"/>
        </w:rPr>
        <mc:AlternateContent>
          <mc:Choice Requires="wps">
            <w:drawing>
              <wp:anchor distT="0" distB="0" distL="114300" distR="114300" simplePos="0" relativeHeight="251661312" behindDoc="0" locked="0" layoutInCell="1" allowOverlap="0">
                <wp:simplePos x="0" y="0"/>
                <wp:positionH relativeFrom="column">
                  <wp:posOffset>0</wp:posOffset>
                </wp:positionH>
                <wp:positionV relativeFrom="paragraph">
                  <wp:posOffset>341630</wp:posOffset>
                </wp:positionV>
                <wp:extent cx="561594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6.9pt;height:0pt;width:442.2pt;z-index:251661312;mso-width-relative:page;mso-height-relative:page;" filled="f" stroked="t" coordsize="21600,21600" o:allowoverlap="f" o:gfxdata="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LfIEdUAAAAGAQAADwAAAAAAAAABACAAAAAiAAAAZHJzL2Rvd25yZXYueG1s&#10;UEsBAhQAFAAAAAgAh07iQOKC9cv7AQAA8wMAAA4AAAAAAAAAAQAgAAAAJAEAAGRycy9lMm9Eb2Mu&#10;eG1sUEsFBgAAAAAGAAYAWQEAAJEFAAAAAA==&#10;">
                <v:fill on="f" focussize="0,0"/>
                <v:stroke weight="1.2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3175</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25pt;height:0pt;width:442.2pt;z-index:251659264;mso-width-relative:page;mso-height-relative:page;" filled="f" stroked="t" coordsize="21600,21600" o:gfxdata="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EDtDQAAAAAwEAAA8AAAAAAAAAAQAgAAAAIgAAAGRycy9kb3ducmV2LnhtbFBLAQIUABQA&#10;AAAIAIdO4kBiTMRL+AEAAPIDAAAOAAAAAAAAAAEAIAAAAB8BAABkcnMvZTJvRG9jLnhtbFBLBQYA&#10;AAAABgAGAFkBAACJBQ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丁军</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4C453E49"/>
    <w:rsid w:val="029F7154"/>
    <w:rsid w:val="04057C39"/>
    <w:rsid w:val="04115E30"/>
    <w:rsid w:val="04CB242D"/>
    <w:rsid w:val="09175C96"/>
    <w:rsid w:val="0DD23A1A"/>
    <w:rsid w:val="0EA004DC"/>
    <w:rsid w:val="12331667"/>
    <w:rsid w:val="135049C5"/>
    <w:rsid w:val="16267F88"/>
    <w:rsid w:val="2E2E1209"/>
    <w:rsid w:val="41B66D17"/>
    <w:rsid w:val="424C5A0F"/>
    <w:rsid w:val="42980EEF"/>
    <w:rsid w:val="45991206"/>
    <w:rsid w:val="48223734"/>
    <w:rsid w:val="48281C98"/>
    <w:rsid w:val="4C453E49"/>
    <w:rsid w:val="4CA949E8"/>
    <w:rsid w:val="4E915170"/>
    <w:rsid w:val="59B30690"/>
    <w:rsid w:val="5B150ED7"/>
    <w:rsid w:val="5B346FEE"/>
    <w:rsid w:val="5D1A0A26"/>
    <w:rsid w:val="5DCA41FA"/>
    <w:rsid w:val="64B73652"/>
    <w:rsid w:val="677B4BB6"/>
    <w:rsid w:val="696164C7"/>
    <w:rsid w:val="71C90F2A"/>
    <w:rsid w:val="73A17354"/>
    <w:rsid w:val="76C67DBD"/>
    <w:rsid w:val="77B21B30"/>
    <w:rsid w:val="7F84020B"/>
    <w:rsid w:val="9CDE2003"/>
    <w:rsid w:val="D97F8314"/>
    <w:rsid w:val="FFFCC4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1"/>
    <w:basedOn w:val="1"/>
    <w:next w:val="1"/>
    <w:qFormat/>
    <w:uiPriority w:val="0"/>
    <w:pPr>
      <w:spacing w:line="560" w:lineRule="exact"/>
      <w:ind w:left="0" w:firstLine="640" w:firstLineChars="200"/>
      <w:jc w:val="both"/>
      <w:outlineLvl w:val="0"/>
    </w:pPr>
    <w:rPr>
      <w:rFonts w:ascii="宋体" w:hAnsi="宋体" w:eastAsia="黑体" w:cs="宋体"/>
      <w:sz w:val="32"/>
      <w:szCs w:val="30"/>
    </w:rPr>
  </w:style>
  <w:style w:type="paragraph" w:styleId="3">
    <w:name w:val="heading 2"/>
    <w:basedOn w:val="1"/>
    <w:next w:val="1"/>
    <w:link w:val="11"/>
    <w:semiHidden/>
    <w:unhideWhenUsed/>
    <w:qFormat/>
    <w:uiPriority w:val="0"/>
    <w:pPr>
      <w:keepNext/>
      <w:keepLines/>
      <w:spacing w:beforeLines="0" w:beforeAutospacing="0" w:afterLines="0" w:afterAutospacing="0" w:line="560" w:lineRule="exact"/>
      <w:outlineLvl w:val="1"/>
    </w:pPr>
    <w:rPr>
      <w:rFonts w:ascii="楷体_GB2312" w:hAnsi="楷体_GB2312" w:eastAsia="楷体_GB231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1">
    <w:name w:val="标题 2 Char"/>
    <w:link w:val="3"/>
    <w:qFormat/>
    <w:uiPriority w:val="0"/>
    <w:rPr>
      <w:rFonts w:ascii="楷体_GB2312" w:hAnsi="楷体_GB2312"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2024-11-27T02:56:00Z</dcterms:created>
  <dc:creator>潍坊</dc:creator>
  <cp:lastModifiedBy>LTGX03</cp:lastModifiedBy>
  <dcterms:modified xsi:type="dcterms:W3CDTF">2024-12-03T00:48:40Z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48CBC127BD33488CBB0F951CF16A4B60_12</vt:lpwstr>
  </property>
</Properties>
</file>