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3BCF0">
      <w:pPr>
        <w:keepNext w:val="0"/>
        <w:keepLines w:val="0"/>
        <w:pageBreakBefore w:val="0"/>
        <w:widowControl w:val="0"/>
        <w:kinsoku/>
        <w:wordWrap/>
        <w:overflowPunct/>
        <w:topLinePunct w:val="0"/>
        <w:autoSpaceDE/>
        <w:autoSpaceDN/>
        <w:bidi w:val="0"/>
        <w:adjustRightInd/>
        <w:snapToGrid/>
        <w:spacing w:line="52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14:paraId="5D4EED28">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color w:val="auto"/>
          <w:sz w:val="44"/>
          <w:szCs w:val="44"/>
        </w:rPr>
      </w:pPr>
    </w:p>
    <w:p w14:paraId="0E3CCEF0">
      <w:pPr>
        <w:pStyle w:val="2"/>
        <w:keepNext w:val="0"/>
        <w:keepLines w:val="0"/>
        <w:pageBreakBefore w:val="0"/>
        <w:kinsoku/>
        <w:wordWrap/>
        <w:topLinePunct w:val="0"/>
        <w:autoSpaceDE/>
        <w:autoSpaceDN/>
        <w:bidi w:val="0"/>
        <w:adjustRightInd/>
        <w:snapToGrid/>
        <w:spacing w:line="560" w:lineRule="exact"/>
        <w:rPr>
          <w:rFonts w:hint="eastAsia"/>
          <w:color w:val="auto"/>
        </w:rPr>
      </w:pPr>
    </w:p>
    <w:p w14:paraId="17395EEB">
      <w:pPr>
        <w:pStyle w:val="6"/>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48"/>
        </w:rPr>
      </w:pPr>
      <w:r>
        <w:rPr>
          <w:rFonts w:hint="eastAsia" w:ascii="仿宋_GB2312" w:hAnsi="仿宋_GB2312" w:eastAsia="仿宋_GB2312" w:cs="仿宋_GB2312"/>
          <w:color w:val="auto"/>
          <w:sz w:val="32"/>
          <w:szCs w:val="48"/>
        </w:rPr>
        <w:t>鲁人社字〔202</w:t>
      </w:r>
      <w:r>
        <w:rPr>
          <w:rFonts w:hint="eastAsia" w:ascii="仿宋_GB2312" w:hAnsi="仿宋_GB2312" w:eastAsia="仿宋_GB2312" w:cs="仿宋_GB2312"/>
          <w:color w:val="auto"/>
          <w:sz w:val="32"/>
          <w:szCs w:val="48"/>
          <w:lang w:val="en-US" w:eastAsia="zh-CN"/>
        </w:rPr>
        <w:t>4</w:t>
      </w:r>
      <w:r>
        <w:rPr>
          <w:rFonts w:hint="eastAsia" w:ascii="仿宋_GB2312" w:hAnsi="仿宋_GB2312" w:eastAsia="仿宋_GB2312" w:cs="仿宋_GB2312"/>
          <w:color w:val="auto"/>
          <w:sz w:val="32"/>
          <w:szCs w:val="48"/>
        </w:rPr>
        <w:t>〕</w:t>
      </w:r>
      <w:r>
        <w:rPr>
          <w:rFonts w:hint="eastAsia" w:ascii="仿宋_GB2312" w:hAnsi="仿宋_GB2312" w:eastAsia="仿宋_GB2312" w:cs="仿宋_GB2312"/>
          <w:color w:val="auto"/>
          <w:sz w:val="32"/>
          <w:szCs w:val="48"/>
          <w:lang w:val="en-US" w:eastAsia="zh-CN"/>
        </w:rPr>
        <w:t>74</w:t>
      </w:r>
      <w:r>
        <w:rPr>
          <w:rFonts w:hint="eastAsia" w:ascii="仿宋_GB2312" w:hAnsi="仿宋_GB2312" w:eastAsia="仿宋_GB2312" w:cs="仿宋_GB2312"/>
          <w:color w:val="auto"/>
          <w:sz w:val="32"/>
          <w:szCs w:val="48"/>
        </w:rPr>
        <w:t>号</w:t>
      </w:r>
    </w:p>
    <w:p w14:paraId="34B42AA8">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color w:val="auto"/>
          <w:sz w:val="32"/>
          <w:szCs w:val="32"/>
        </w:rPr>
      </w:pPr>
      <w:bookmarkStart w:id="1" w:name="_GoBack"/>
      <w:bookmarkEnd w:id="1"/>
    </w:p>
    <w:p w14:paraId="4F1A0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方正小标宋简体" w:hAnsi="方正小标宋简体" w:eastAsia="方正小标宋简体" w:cs="方正小标宋简体"/>
          <w:color w:val="auto"/>
          <w:sz w:val="32"/>
          <w:szCs w:val="32"/>
        </w:rPr>
      </w:pPr>
    </w:p>
    <w:p w14:paraId="4946E6E1">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lang w:val="en-US" w:eastAsia="zh-CN"/>
        </w:rPr>
        <w:t>山东省人力资源和社会保障厅 山东省财政厅</w:t>
      </w:r>
      <w:r>
        <w:rPr>
          <w:rFonts w:hint="eastAsia" w:ascii="方正小标宋简体" w:hAnsi="华文中宋" w:eastAsia="方正小标宋简体" w:cs="华文中宋"/>
          <w:color w:val="auto"/>
          <w:spacing w:val="-13"/>
          <w:sz w:val="44"/>
          <w:szCs w:val="44"/>
        </w:rPr>
        <w:t>关于印发《</w:t>
      </w:r>
      <w:r>
        <w:rPr>
          <w:rFonts w:hint="eastAsia" w:ascii="方正小标宋简体" w:hAnsi="华文中宋" w:eastAsia="方正小标宋简体" w:cs="华文中宋"/>
          <w:color w:val="auto"/>
          <w:spacing w:val="-13"/>
          <w:sz w:val="44"/>
          <w:szCs w:val="44"/>
          <w:lang w:val="en-US" w:eastAsia="zh-CN"/>
        </w:rPr>
        <w:t>山东省</w:t>
      </w:r>
      <w:r>
        <w:rPr>
          <w:rFonts w:hint="eastAsia" w:ascii="方正小标宋简体" w:hAnsi="华文中宋" w:eastAsia="方正小标宋简体" w:cs="华文中宋"/>
          <w:color w:val="auto"/>
          <w:spacing w:val="-13"/>
          <w:sz w:val="44"/>
          <w:szCs w:val="44"/>
        </w:rPr>
        <w:t>就业见习</w:t>
      </w:r>
      <w:r>
        <w:rPr>
          <w:rFonts w:hint="eastAsia" w:ascii="方正小标宋简体" w:hAnsi="华文中宋" w:eastAsia="方正小标宋简体" w:cs="华文中宋"/>
          <w:color w:val="auto"/>
          <w:spacing w:val="-13"/>
          <w:sz w:val="44"/>
          <w:szCs w:val="44"/>
          <w:lang w:val="en-US" w:eastAsia="zh-CN"/>
        </w:rPr>
        <w:t>工作实施细则</w:t>
      </w:r>
      <w:r>
        <w:rPr>
          <w:rFonts w:hint="eastAsia" w:ascii="方正小标宋简体" w:hAnsi="华文中宋" w:eastAsia="方正小标宋简体" w:cs="华文中宋"/>
          <w:color w:val="auto"/>
          <w:spacing w:val="-13"/>
          <w:sz w:val="44"/>
          <w:szCs w:val="44"/>
        </w:rPr>
        <w:t>》的通知</w:t>
      </w:r>
    </w:p>
    <w:p w14:paraId="229F8B8E">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华文中宋" w:eastAsia="方正小标宋简体" w:cs="华文中宋"/>
          <w:color w:val="auto"/>
          <w:sz w:val="44"/>
          <w:szCs w:val="44"/>
        </w:rPr>
      </w:pPr>
    </w:p>
    <w:p w14:paraId="4EF97552">
      <w:pPr>
        <w:keepNext w:val="0"/>
        <w:keepLines w:val="0"/>
        <w:pageBreakBefore w:val="0"/>
        <w:widowControl/>
        <w:kinsoku/>
        <w:wordWrap/>
        <w:overflowPunct/>
        <w:topLinePunct w:val="0"/>
        <w:autoSpaceDE/>
        <w:autoSpaceDN/>
        <w:bidi w:val="0"/>
        <w:adjustRightInd/>
        <w:snapToGrid/>
        <w:spacing w:line="560" w:lineRule="exact"/>
        <w:ind w:firstLine="0" w:firstLine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人力资源社会保障局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财政局</w:t>
      </w:r>
      <w:r>
        <w:rPr>
          <w:rFonts w:hint="eastAsia" w:ascii="仿宋_GB2312" w:hAnsi="仿宋_GB2312" w:eastAsia="仿宋_GB2312" w:cs="仿宋_GB2312"/>
          <w:color w:val="auto"/>
          <w:sz w:val="32"/>
          <w:szCs w:val="32"/>
        </w:rPr>
        <w:t>：</w:t>
      </w:r>
    </w:p>
    <w:p w14:paraId="4EDE6924">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_GB2312" w:hAnsi="仿宋_GB2312" w:eastAsia="仿宋_GB2312" w:cs="仿宋_GB2312"/>
          <w:color w:val="auto"/>
          <w:sz w:val="32"/>
          <w:szCs w:val="32"/>
        </w:rPr>
      </w:pP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深入贯彻党中央、国务院关于做好高校毕业生等青年群体就业创业工作的决策部署，</w:t>
      </w:r>
      <w:r>
        <w:rPr>
          <w:rFonts w:hint="eastAsia" w:ascii="仿宋_GB2312" w:eastAsia="仿宋_GB2312"/>
          <w:color w:val="auto"/>
          <w:sz w:val="32"/>
          <w:szCs w:val="32"/>
        </w:rPr>
        <w:t>进一步规范和完善就业见习工作，</w:t>
      </w:r>
      <w:r>
        <w:rPr>
          <w:rFonts w:hint="eastAsia" w:ascii="仿宋_GB2312" w:eastAsia="仿宋_GB2312"/>
          <w:color w:val="auto"/>
          <w:sz w:val="32"/>
          <w:szCs w:val="32"/>
          <w:lang w:eastAsia="zh"/>
        </w:rPr>
        <w:t>现将</w:t>
      </w:r>
      <w:r>
        <w:rPr>
          <w:rFonts w:hint="eastAsia" w:ascii="仿宋_GB2312" w:eastAsia="仿宋_GB2312"/>
          <w:color w:val="auto"/>
          <w:sz w:val="32"/>
          <w:szCs w:val="32"/>
        </w:rPr>
        <w:t>《山东省就业见习</w:t>
      </w:r>
      <w:r>
        <w:rPr>
          <w:rFonts w:hint="eastAsia" w:ascii="仿宋_GB2312" w:eastAsia="仿宋_GB2312"/>
          <w:color w:val="auto"/>
          <w:sz w:val="32"/>
          <w:szCs w:val="32"/>
          <w:lang w:val="en-US" w:eastAsia="zh-CN"/>
        </w:rPr>
        <w:t>工作实施细则</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印发给你们，请遵照执行。</w:t>
      </w:r>
    </w:p>
    <w:p w14:paraId="03C158EA">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auto"/>
          <w:sz w:val="32"/>
          <w:szCs w:val="32"/>
        </w:rPr>
      </w:pPr>
    </w:p>
    <w:p w14:paraId="355FA024">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auto"/>
          <w:sz w:val="32"/>
          <w:szCs w:val="32"/>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2E35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14:paraId="1FA22164">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0" w:type="dxa"/>
            <w:vAlign w:val="center"/>
          </w:tcPr>
          <w:p w14:paraId="1ECB5576">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山东省财政厅</w:t>
            </w:r>
          </w:p>
        </w:tc>
      </w:tr>
      <w:tr w14:paraId="2571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14:paraId="46D98DF3">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vertAlign w:val="baseline"/>
              </w:rPr>
            </w:pPr>
          </w:p>
        </w:tc>
        <w:tc>
          <w:tcPr>
            <w:tcW w:w="4530" w:type="dxa"/>
            <w:vAlign w:val="center"/>
          </w:tcPr>
          <w:p w14:paraId="767F5E55">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tc>
      </w:tr>
    </w:tbl>
    <w:p w14:paraId="3BAEAFDA">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_GB2312" w:hAnsi="仿宋_GB2312" w:eastAsia="仿宋_GB2312" w:cs="仿宋_GB2312"/>
          <w:color w:val="auto"/>
          <w:sz w:val="32"/>
          <w:szCs w:val="32"/>
        </w:rPr>
      </w:pPr>
    </w:p>
    <w:p w14:paraId="33AFDADD">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14:paraId="1A247BC9">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（联系单位：省公共就业和人才服务中心就业服务处）</w:t>
      </w:r>
      <w:r>
        <w:rPr>
          <w:rFonts w:hint="eastAsia" w:ascii="仿宋_GB2312" w:hAnsi="仿宋_GB2312" w:eastAsia="仿宋_GB2312" w:cs="仿宋_GB2312"/>
          <w:color w:val="auto"/>
          <w:sz w:val="32"/>
          <w:szCs w:val="32"/>
        </w:rPr>
        <w:br w:type="page"/>
      </w:r>
    </w:p>
    <w:p w14:paraId="1F5C230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color w:val="auto"/>
          <w:sz w:val="44"/>
          <w:szCs w:val="44"/>
        </w:rPr>
      </w:pPr>
    </w:p>
    <w:p w14:paraId="717B8DD1">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山东省就业见习</w:t>
      </w:r>
      <w:r>
        <w:rPr>
          <w:rFonts w:hint="eastAsia" w:ascii="方正小标宋简体" w:hAnsi="华文中宋" w:eastAsia="方正小标宋简体" w:cs="华文中宋"/>
          <w:color w:val="auto"/>
          <w:sz w:val="44"/>
          <w:szCs w:val="44"/>
          <w:lang w:val="en-US" w:eastAsia="zh-CN"/>
        </w:rPr>
        <w:t>工作实施细则</w:t>
      </w:r>
    </w:p>
    <w:p w14:paraId="4EACA4F9">
      <w:pPr>
        <w:keepNext w:val="0"/>
        <w:keepLines w:val="0"/>
        <w:pageBreakBefore w:val="0"/>
        <w:kinsoku/>
        <w:wordWrap/>
        <w:overflowPunct/>
        <w:topLinePunct w:val="0"/>
        <w:autoSpaceDE/>
        <w:autoSpaceDN/>
        <w:bidi w:val="0"/>
        <w:adjustRightInd/>
        <w:snapToGrid/>
        <w:spacing w:line="560" w:lineRule="exact"/>
        <w:jc w:val="center"/>
        <w:textAlignment w:val="auto"/>
        <w:rPr>
          <w:rFonts w:ascii="楷体_GB2312" w:hAnsi="仿宋_GB2312" w:eastAsia="楷体_GB2312" w:cs="仿宋_GB2312"/>
          <w:color w:val="auto"/>
          <w:sz w:val="32"/>
          <w:szCs w:val="32"/>
        </w:rPr>
      </w:pPr>
    </w:p>
    <w:p w14:paraId="17AE0E05">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rPr>
      </w:pPr>
      <w:r>
        <w:rPr>
          <w:rFonts w:ascii="黑体" w:hAnsi="黑体" w:eastAsia="黑体" w:cs="黑体"/>
          <w:color w:val="auto"/>
          <w:sz w:val="32"/>
          <w:szCs w:val="32"/>
        </w:rPr>
        <w:t>第一章</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14:paraId="32296C84">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auto"/>
          <w:sz w:val="32"/>
          <w:szCs w:val="32"/>
        </w:rPr>
      </w:pPr>
    </w:p>
    <w:p w14:paraId="58993D0F">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为</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规范就业见习管理工作，全面助力高校毕业生等青年提升就业能力，根据《人力资源社会保障部 教育部 财政部关于做好高校毕业生等青年就业创业工作的通知》（人社部发〔2024〕44号）、《就业补助资金管理</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》（财社〔2023〕181号）等规定，结合我省实际，制定</w:t>
      </w:r>
      <w:r>
        <w:rPr>
          <w:rFonts w:hint="eastAsia" w:ascii="仿宋_GB2312" w:hAnsi="仿宋_GB2312" w:eastAsia="仿宋_GB2312" w:cs="仿宋_GB2312"/>
          <w:color w:val="auto"/>
          <w:sz w:val="32"/>
          <w:szCs w:val="32"/>
          <w:lang w:val="en-US" w:eastAsia="zh-CN"/>
        </w:rPr>
        <w:t>本细则</w:t>
      </w:r>
      <w:r>
        <w:rPr>
          <w:rFonts w:hint="eastAsia" w:ascii="仿宋_GB2312" w:hAnsi="仿宋_GB2312" w:eastAsia="仿宋_GB2312" w:cs="仿宋_GB2312"/>
          <w:color w:val="auto"/>
          <w:sz w:val="32"/>
          <w:szCs w:val="32"/>
        </w:rPr>
        <w:t>。</w:t>
      </w:r>
    </w:p>
    <w:p w14:paraId="296DA4C6">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仿宋_GB2312" w:hAnsi="等线" w:eastAsia="仿宋_GB2312"/>
          <w:color w:val="auto"/>
          <w:sz w:val="32"/>
          <w:szCs w:val="32"/>
        </w:rPr>
      </w:pPr>
      <w:r>
        <w:rPr>
          <w:rFonts w:hint="eastAsia" w:ascii="黑体" w:hAnsi="黑体" w:eastAsia="黑体"/>
          <w:color w:val="auto"/>
          <w:sz w:val="32"/>
          <w:szCs w:val="32"/>
        </w:rPr>
        <w:t xml:space="preserve">第二条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所称就业见习，是指经人力资源社会保障部门批准设立的就业见习单位(以下简称“见习单位”),通过开发一定数量的见习岗位、提供一定期限的岗位锻炼，帮助见习人员</w:t>
      </w:r>
      <w:r>
        <w:rPr>
          <w:rFonts w:hint="eastAsia" w:ascii="仿宋_GB2312" w:hAnsi="仿宋_GB2312" w:eastAsia="仿宋_GB2312" w:cs="仿宋_GB2312"/>
          <w:color w:val="auto"/>
          <w:sz w:val="32"/>
          <w:szCs w:val="32"/>
          <w:lang w:val="en-US" w:eastAsia="zh-CN"/>
        </w:rPr>
        <w:t>积累实践经验、增强就业能力</w:t>
      </w:r>
      <w:r>
        <w:rPr>
          <w:rFonts w:hint="eastAsia" w:ascii="仿宋_GB2312" w:hAnsi="仿宋_GB2312" w:eastAsia="仿宋_GB2312" w:cs="仿宋_GB2312"/>
          <w:color w:val="auto"/>
          <w:sz w:val="32"/>
          <w:szCs w:val="32"/>
        </w:rPr>
        <w:t>。</w:t>
      </w:r>
    </w:p>
    <w:p w14:paraId="3DBAA512">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仿宋_GB2312" w:hAnsi="等线" w:eastAsia="仿宋_GB2312"/>
          <w:color w:val="auto"/>
          <w:sz w:val="32"/>
          <w:szCs w:val="32"/>
        </w:rPr>
      </w:pPr>
      <w:r>
        <w:rPr>
          <w:rFonts w:hint="eastAsia" w:ascii="黑体" w:hAnsi="黑体" w:eastAsia="黑体"/>
          <w:color w:val="auto"/>
          <w:sz w:val="32"/>
          <w:szCs w:val="32"/>
        </w:rPr>
        <w:t>第三条</w:t>
      </w:r>
      <w:r>
        <w:rPr>
          <w:rFonts w:hint="eastAsia" w:ascii="仿宋_GB2312" w:hAnsi="等线" w:eastAsia="仿宋_GB2312"/>
          <w:color w:val="auto"/>
          <w:sz w:val="32"/>
          <w:szCs w:val="32"/>
        </w:rPr>
        <w:t xml:space="preserve">  </w:t>
      </w:r>
      <w:r>
        <w:rPr>
          <w:rFonts w:ascii="仿宋_GB2312" w:hAnsi="等线" w:eastAsia="仿宋_GB2312"/>
          <w:color w:val="auto"/>
          <w:sz w:val="32"/>
          <w:szCs w:val="32"/>
        </w:rPr>
        <w:t>本</w:t>
      </w:r>
      <w:r>
        <w:rPr>
          <w:rFonts w:hint="eastAsia" w:ascii="仿宋_GB2312" w:hAnsi="等线" w:eastAsia="仿宋_GB2312"/>
          <w:color w:val="auto"/>
          <w:sz w:val="32"/>
          <w:szCs w:val="32"/>
          <w:lang w:eastAsia="zh-CN"/>
        </w:rPr>
        <w:t>细则</w:t>
      </w:r>
      <w:r>
        <w:rPr>
          <w:rFonts w:ascii="仿宋_GB2312" w:hAnsi="等线" w:eastAsia="仿宋_GB2312"/>
          <w:color w:val="auto"/>
          <w:sz w:val="32"/>
          <w:szCs w:val="32"/>
        </w:rPr>
        <w:t>所称见习岗位</w:t>
      </w:r>
      <w:r>
        <w:rPr>
          <w:rFonts w:hint="eastAsia" w:ascii="仿宋_GB2312" w:hAnsi="等线" w:eastAsia="仿宋_GB2312"/>
          <w:color w:val="auto"/>
          <w:sz w:val="32"/>
          <w:szCs w:val="32"/>
        </w:rPr>
        <w:t>，</w:t>
      </w:r>
      <w:r>
        <w:rPr>
          <w:rFonts w:ascii="仿宋_GB2312" w:hAnsi="等线" w:eastAsia="仿宋_GB2312"/>
          <w:color w:val="auto"/>
          <w:sz w:val="32"/>
          <w:szCs w:val="32"/>
        </w:rPr>
        <w:t>是指见习单位提供的</w:t>
      </w:r>
      <w:r>
        <w:rPr>
          <w:rFonts w:hint="eastAsia" w:ascii="仿宋_GB2312" w:hAnsi="等线" w:eastAsia="仿宋_GB2312"/>
          <w:color w:val="auto"/>
          <w:sz w:val="32"/>
          <w:szCs w:val="32"/>
        </w:rPr>
        <w:t>，</w:t>
      </w:r>
      <w:r>
        <w:rPr>
          <w:rFonts w:ascii="仿宋_GB2312" w:hAnsi="等线" w:eastAsia="仿宋_GB2312"/>
          <w:color w:val="auto"/>
          <w:sz w:val="32"/>
          <w:szCs w:val="32"/>
        </w:rPr>
        <w:t>具有一定知识</w:t>
      </w:r>
      <w:r>
        <w:rPr>
          <w:rFonts w:hint="eastAsia" w:ascii="仿宋_GB2312" w:hAnsi="等线" w:eastAsia="仿宋_GB2312"/>
          <w:color w:val="auto"/>
          <w:sz w:val="32"/>
          <w:szCs w:val="32"/>
        </w:rPr>
        <w:t>、</w:t>
      </w:r>
      <w:r>
        <w:rPr>
          <w:rFonts w:ascii="仿宋_GB2312" w:hAnsi="等线" w:eastAsia="仿宋_GB2312"/>
          <w:color w:val="auto"/>
          <w:sz w:val="32"/>
          <w:szCs w:val="32"/>
        </w:rPr>
        <w:t>技术</w:t>
      </w:r>
      <w:r>
        <w:rPr>
          <w:rFonts w:hint="eastAsia" w:ascii="仿宋_GB2312" w:hAnsi="等线" w:eastAsia="仿宋_GB2312"/>
          <w:color w:val="auto"/>
          <w:sz w:val="32"/>
          <w:szCs w:val="32"/>
        </w:rPr>
        <w:t>、</w:t>
      </w:r>
      <w:r>
        <w:rPr>
          <w:rFonts w:ascii="仿宋_GB2312" w:hAnsi="等线" w:eastAsia="仿宋_GB2312"/>
          <w:color w:val="auto"/>
          <w:sz w:val="32"/>
          <w:szCs w:val="32"/>
        </w:rPr>
        <w:t>技能含量和业务内容</w:t>
      </w:r>
      <w:r>
        <w:rPr>
          <w:rFonts w:hint="eastAsia" w:ascii="仿宋_GB2312" w:hAnsi="等线" w:eastAsia="仿宋_GB2312"/>
          <w:color w:val="auto"/>
          <w:sz w:val="32"/>
          <w:szCs w:val="32"/>
        </w:rPr>
        <w:t>，</w:t>
      </w:r>
      <w:r>
        <w:rPr>
          <w:rFonts w:ascii="仿宋_GB2312" w:hAnsi="等线" w:eastAsia="仿宋_GB2312"/>
          <w:color w:val="auto"/>
          <w:sz w:val="32"/>
          <w:szCs w:val="32"/>
        </w:rPr>
        <w:t>具备国家规定的劳动保护措施和劳动安全卫生条件</w:t>
      </w:r>
      <w:r>
        <w:rPr>
          <w:rFonts w:hint="eastAsia" w:ascii="仿宋_GB2312" w:hAnsi="等线" w:eastAsia="仿宋_GB2312"/>
          <w:color w:val="auto"/>
          <w:sz w:val="32"/>
          <w:szCs w:val="32"/>
        </w:rPr>
        <w:t>，</w:t>
      </w:r>
      <w:r>
        <w:rPr>
          <w:rFonts w:ascii="仿宋_GB2312" w:hAnsi="等线" w:eastAsia="仿宋_GB2312"/>
          <w:color w:val="auto"/>
          <w:sz w:val="32"/>
          <w:szCs w:val="32"/>
        </w:rPr>
        <w:t>符合见习人员实践能力提升需要的岗位</w:t>
      </w:r>
      <w:r>
        <w:rPr>
          <w:rFonts w:hint="eastAsia" w:ascii="仿宋_GB2312" w:hAnsi="等线" w:eastAsia="仿宋_GB2312"/>
          <w:color w:val="auto"/>
          <w:sz w:val="32"/>
          <w:szCs w:val="32"/>
        </w:rPr>
        <w:t>。</w:t>
      </w:r>
    </w:p>
    <w:p w14:paraId="5262FBF2">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1"/>
          <w:szCs w:val="31"/>
          <w:shd w:val="clear" w:color="auto" w:fill="FFFFFF"/>
        </w:rPr>
      </w:pPr>
      <w:r>
        <w:rPr>
          <w:rFonts w:ascii="黑体" w:hAnsi="黑体" w:eastAsia="黑体"/>
          <w:color w:val="auto"/>
          <w:sz w:val="32"/>
          <w:szCs w:val="32"/>
        </w:rPr>
        <w:t>第四条</w:t>
      </w:r>
      <w:r>
        <w:rPr>
          <w:rFonts w:hint="eastAsia" w:ascii="仿宋_GB2312" w:hAnsi="等线" w:eastAsia="仿宋_GB2312"/>
          <w:color w:val="auto"/>
          <w:sz w:val="32"/>
          <w:szCs w:val="32"/>
        </w:rPr>
        <w:t xml:space="preserve"> </w:t>
      </w:r>
      <w:r>
        <w:rPr>
          <w:rFonts w:ascii="仿宋_GB2312" w:hAnsi="等线" w:eastAsia="仿宋_GB2312"/>
          <w:color w:val="auto"/>
          <w:sz w:val="32"/>
          <w:szCs w:val="32"/>
        </w:rPr>
        <w:t xml:space="preserve"> </w:t>
      </w:r>
      <w:r>
        <w:rPr>
          <w:rFonts w:hint="eastAsia" w:ascii="仿宋_GB2312" w:hAnsi="仿宋_GB2312" w:eastAsia="仿宋_GB2312" w:cs="仿宋_GB2312"/>
          <w:color w:val="auto"/>
          <w:sz w:val="31"/>
          <w:szCs w:val="31"/>
          <w:shd w:val="clear" w:color="auto" w:fill="FFFFFF"/>
        </w:rPr>
        <w:t>本</w:t>
      </w:r>
      <w:r>
        <w:rPr>
          <w:rFonts w:hint="eastAsia" w:ascii="仿宋_GB2312" w:hAnsi="仿宋_GB2312" w:eastAsia="仿宋_GB2312" w:cs="仿宋_GB2312"/>
          <w:color w:val="auto"/>
          <w:sz w:val="31"/>
          <w:szCs w:val="31"/>
          <w:shd w:val="clear" w:color="auto" w:fill="FFFFFF"/>
          <w:lang w:eastAsia="zh-CN"/>
        </w:rPr>
        <w:t>细则</w:t>
      </w:r>
      <w:r>
        <w:rPr>
          <w:rFonts w:hint="eastAsia" w:ascii="仿宋_GB2312" w:hAnsi="仿宋_GB2312" w:eastAsia="仿宋_GB2312" w:cs="仿宋_GB2312"/>
          <w:color w:val="auto"/>
          <w:sz w:val="31"/>
          <w:szCs w:val="31"/>
          <w:shd w:val="clear" w:color="auto" w:fill="FFFFFF"/>
        </w:rPr>
        <w:t>所称见习人员，是指有见习意愿</w:t>
      </w:r>
      <w:r>
        <w:rPr>
          <w:rFonts w:hint="eastAsia" w:ascii="仿宋_GB2312" w:hAnsi="仿宋_GB2312" w:eastAsia="仿宋_GB2312" w:cs="仿宋_GB2312"/>
          <w:bCs/>
          <w:color w:val="auto"/>
          <w:sz w:val="32"/>
          <w:szCs w:val="32"/>
        </w:rPr>
        <w:t>的离校2年内未就业高校毕业生和16—24岁登记失业青年。</w:t>
      </w:r>
    </w:p>
    <w:p w14:paraId="2ABFE272">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等线" w:eastAsia="仿宋_GB2312"/>
          <w:color w:val="auto"/>
          <w:sz w:val="32"/>
          <w:szCs w:val="32"/>
        </w:rPr>
      </w:pPr>
      <w:r>
        <w:rPr>
          <w:rFonts w:hint="eastAsia" w:ascii="黑体" w:hAnsi="黑体" w:eastAsia="黑体"/>
          <w:color w:val="auto"/>
          <w:sz w:val="32"/>
          <w:szCs w:val="32"/>
        </w:rPr>
        <w:t>第五条</w:t>
      </w:r>
      <w:r>
        <w:rPr>
          <w:rFonts w:hint="eastAsia" w:ascii="仿宋_GB2312" w:hAnsi="等线" w:eastAsia="仿宋_GB2312"/>
          <w:color w:val="auto"/>
          <w:sz w:val="32"/>
          <w:szCs w:val="32"/>
        </w:rPr>
        <w:t xml:space="preserve"> </w:t>
      </w:r>
      <w:r>
        <w:rPr>
          <w:rFonts w:ascii="仿宋_GB2312" w:hAnsi="等线" w:eastAsia="仿宋_GB2312"/>
          <w:color w:val="auto"/>
          <w:sz w:val="32"/>
          <w:szCs w:val="32"/>
        </w:rPr>
        <w:t xml:space="preserve"> </w:t>
      </w:r>
      <w:r>
        <w:rPr>
          <w:rFonts w:hint="eastAsia" w:ascii="仿宋_GB2312" w:hAnsi="仿宋_GB2312" w:eastAsia="仿宋_GB2312" w:cs="仿宋_GB2312"/>
          <w:color w:val="auto"/>
          <w:sz w:val="32"/>
          <w:szCs w:val="32"/>
        </w:rPr>
        <w:t>就业见习坚持个人自愿参加、政府扶持帮助、社会共同参与的原则</w:t>
      </w:r>
      <w:r>
        <w:rPr>
          <w:rFonts w:hint="eastAsia" w:ascii="仿宋_GB2312" w:hAnsi="等线" w:eastAsia="仿宋_GB2312"/>
          <w:color w:val="auto"/>
          <w:sz w:val="32"/>
          <w:szCs w:val="32"/>
        </w:rPr>
        <w:t>。</w:t>
      </w:r>
    </w:p>
    <w:p w14:paraId="24F8B1B9">
      <w:pPr>
        <w:pStyle w:val="2"/>
        <w:rPr>
          <w:color w:val="auto"/>
        </w:rPr>
      </w:pPr>
    </w:p>
    <w:p w14:paraId="5D075F37">
      <w:pPr>
        <w:keepNext w:val="0"/>
        <w:keepLines w:val="0"/>
        <w:pageBreakBefore w:val="0"/>
        <w:kinsoku/>
        <w:wordWrap/>
        <w:topLinePunct w:val="0"/>
        <w:autoSpaceDE/>
        <w:autoSpaceDN/>
        <w:bidi w:val="0"/>
        <w:adjustRightInd/>
        <w:snapToGrid/>
        <w:spacing w:line="560" w:lineRule="exact"/>
        <w:jc w:val="center"/>
        <w:rPr>
          <w:color w:val="auto"/>
        </w:rPr>
      </w:pPr>
      <w:r>
        <w:rPr>
          <w:rFonts w:ascii="黑体" w:hAnsi="黑体" w:eastAsia="黑体" w:cs="黑体"/>
          <w:color w:val="auto"/>
          <w:sz w:val="32"/>
          <w:szCs w:val="32"/>
        </w:rPr>
        <w:t>第二章</w:t>
      </w:r>
      <w:r>
        <w:rPr>
          <w:rFonts w:hint="eastAsia" w:ascii="黑体" w:hAnsi="黑体" w:eastAsia="黑体" w:cs="黑体"/>
          <w:color w:val="auto"/>
          <w:sz w:val="32"/>
          <w:szCs w:val="32"/>
        </w:rPr>
        <w:t xml:space="preserve">  组织管理与职责</w:t>
      </w:r>
    </w:p>
    <w:p w14:paraId="31942EF9">
      <w:pPr>
        <w:keepNext w:val="0"/>
        <w:keepLines w:val="0"/>
        <w:pageBreakBefore w:val="0"/>
        <w:kinsoku/>
        <w:wordWrap/>
        <w:topLinePunct w:val="0"/>
        <w:autoSpaceDE/>
        <w:autoSpaceDN/>
        <w:bidi w:val="0"/>
        <w:adjustRightInd/>
        <w:snapToGrid/>
        <w:spacing w:line="560" w:lineRule="exact"/>
        <w:ind w:firstLine="632" w:firstLineChars="200"/>
        <w:rPr>
          <w:rFonts w:hint="eastAsia" w:ascii="黑体" w:hAnsi="黑体" w:eastAsia="黑体"/>
          <w:color w:val="auto"/>
          <w:sz w:val="32"/>
          <w:szCs w:val="32"/>
        </w:rPr>
      </w:pPr>
    </w:p>
    <w:p w14:paraId="11BBE916">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第六条  </w:t>
      </w:r>
      <w:r>
        <w:rPr>
          <w:rFonts w:ascii="仿宋_GB2312" w:hAnsi="仿宋_GB2312" w:eastAsia="仿宋_GB2312" w:cs="仿宋_GB2312"/>
          <w:color w:val="auto"/>
          <w:sz w:val="32"/>
          <w:szCs w:val="32"/>
        </w:rPr>
        <w:t>就业见习工作实行分级负责、属地管理原则</w:t>
      </w:r>
      <w:r>
        <w:rPr>
          <w:rFonts w:hint="eastAsia" w:ascii="仿宋_GB2312" w:hAnsi="仿宋_GB2312" w:eastAsia="仿宋_GB2312" w:cs="仿宋_GB2312"/>
          <w:color w:val="auto"/>
          <w:sz w:val="32"/>
          <w:szCs w:val="32"/>
        </w:rPr>
        <w:t>。</w:t>
      </w:r>
    </w:p>
    <w:p w14:paraId="7799DF91">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第七条  </w:t>
      </w:r>
      <w:r>
        <w:rPr>
          <w:rFonts w:hint="eastAsia" w:ascii="仿宋_GB2312" w:eastAsia="仿宋_GB2312"/>
          <w:color w:val="auto"/>
          <w:sz w:val="32"/>
          <w:szCs w:val="32"/>
        </w:rPr>
        <w:t>省人力资源社会保障厅</w:t>
      </w:r>
      <w:r>
        <w:rPr>
          <w:rFonts w:hint="eastAsia" w:ascii="仿宋_GB2312" w:hAnsi="仿宋_GB2312" w:eastAsia="仿宋_GB2312" w:cs="仿宋_GB2312"/>
          <w:color w:val="auto"/>
          <w:sz w:val="32"/>
          <w:szCs w:val="32"/>
        </w:rPr>
        <w:t>负责全省就业见习工作总体规划、政策制定和统筹实施。省公共就业和人才服务中心负责全省就业见习工作的组织推动、信息系统开发建设、信息发布和数据统计。</w:t>
      </w:r>
    </w:p>
    <w:p w14:paraId="671125DA">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第八条</w:t>
      </w:r>
      <w:r>
        <w:rPr>
          <w:rFonts w:hint="eastAsia" w:ascii="仿宋_GB2312" w:eastAsia="仿宋_GB2312"/>
          <w:color w:val="auto"/>
          <w:sz w:val="32"/>
          <w:szCs w:val="32"/>
        </w:rPr>
        <w:t xml:space="preserve">  </w:t>
      </w:r>
      <w:r>
        <w:rPr>
          <w:rFonts w:hint="eastAsia" w:ascii="仿宋_GB2312" w:hAnsi="仿宋_GB2312" w:eastAsia="仿宋_GB2312" w:cs="仿宋_GB2312"/>
          <w:color w:val="auto"/>
          <w:sz w:val="32"/>
          <w:szCs w:val="32"/>
        </w:rPr>
        <w:t>设区的市人力资源社会保障部门根据要求，做好辖区内就业见习各项管理服务、监督检查工作。</w:t>
      </w:r>
    </w:p>
    <w:p w14:paraId="163C3FB9">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textAlignment w:val="baseline"/>
        <w:rPr>
          <w:rFonts w:ascii="仿宋_GB2312" w:hAnsi="仿宋_GB2312" w:eastAsia="仿宋_GB2312" w:cs="仿宋_GB2312"/>
          <w:color w:val="auto"/>
          <w:sz w:val="32"/>
          <w:szCs w:val="32"/>
        </w:rPr>
      </w:pPr>
      <w:r>
        <w:rPr>
          <w:rFonts w:ascii="黑体" w:hAnsi="黑体" w:eastAsia="黑体" w:cs="仿宋_GB2312"/>
          <w:color w:val="auto"/>
          <w:sz w:val="32"/>
          <w:szCs w:val="32"/>
        </w:rPr>
        <w:t>第九条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各级</w:t>
      </w:r>
      <w:r>
        <w:rPr>
          <w:rFonts w:ascii="仿宋_GB2312" w:hAnsi="仿宋_GB2312" w:eastAsia="仿宋_GB2312" w:cs="仿宋_GB2312"/>
          <w:color w:val="auto"/>
          <w:sz w:val="32"/>
          <w:szCs w:val="32"/>
        </w:rPr>
        <w:t>财政部门负责就业见习</w:t>
      </w:r>
      <w:r>
        <w:rPr>
          <w:rFonts w:hint="eastAsia" w:ascii="仿宋_GB2312" w:hAnsi="仿宋_GB2312" w:eastAsia="仿宋_GB2312" w:cs="仿宋_GB2312"/>
          <w:color w:val="auto"/>
          <w:sz w:val="32"/>
          <w:szCs w:val="32"/>
        </w:rPr>
        <w:t>补贴</w:t>
      </w:r>
      <w:r>
        <w:rPr>
          <w:rFonts w:ascii="仿宋_GB2312" w:hAnsi="仿宋_GB2312" w:eastAsia="仿宋_GB2312" w:cs="仿宋_GB2312"/>
          <w:color w:val="auto"/>
          <w:sz w:val="32"/>
          <w:szCs w:val="32"/>
        </w:rPr>
        <w:t>资金保障</w:t>
      </w:r>
      <w:r>
        <w:rPr>
          <w:rFonts w:hint="eastAsia" w:ascii="仿宋_GB2312" w:hAnsi="仿宋_GB2312" w:eastAsia="仿宋_GB2312" w:cs="仿宋_GB2312"/>
          <w:color w:val="auto"/>
          <w:sz w:val="32"/>
          <w:szCs w:val="32"/>
        </w:rPr>
        <w:t>。</w:t>
      </w:r>
    </w:p>
    <w:p w14:paraId="3A72B8EB">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p>
    <w:p w14:paraId="1E10B4FB">
      <w:pPr>
        <w:keepNext w:val="0"/>
        <w:keepLines w:val="0"/>
        <w:pageBreakBefore w:val="0"/>
        <w:kinsoku/>
        <w:wordWrap/>
        <w:topLinePunct w:val="0"/>
        <w:autoSpaceDE/>
        <w:autoSpaceDN/>
        <w:bidi w:val="0"/>
        <w:adjustRightInd/>
        <w:snapToGrid/>
        <w:spacing w:line="56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 xml:space="preserve">第三章 </w:t>
      </w:r>
      <w:r>
        <w:rPr>
          <w:rFonts w:hint="eastAsia" w:ascii="黑体" w:hAnsi="黑体" w:eastAsia="黑体" w:cs="仿宋_GB2312"/>
          <w:color w:val="auto"/>
          <w:kern w:val="0"/>
          <w:sz w:val="32"/>
          <w:szCs w:val="32"/>
          <w:lang w:val="en-US" w:eastAsia="zh-CN"/>
        </w:rPr>
        <w:t xml:space="preserve"> </w:t>
      </w:r>
      <w:r>
        <w:rPr>
          <w:rFonts w:hint="eastAsia" w:ascii="黑体" w:hAnsi="黑体" w:eastAsia="黑体" w:cs="仿宋_GB2312"/>
          <w:color w:val="auto"/>
          <w:kern w:val="0"/>
          <w:sz w:val="32"/>
          <w:szCs w:val="32"/>
        </w:rPr>
        <w:t>就业见习组织实施</w:t>
      </w:r>
    </w:p>
    <w:p w14:paraId="40485A0A">
      <w:pPr>
        <w:keepNext w:val="0"/>
        <w:keepLines w:val="0"/>
        <w:pageBreakBefore w:val="0"/>
        <w:kinsoku/>
        <w:wordWrap/>
        <w:topLinePunct w:val="0"/>
        <w:autoSpaceDE/>
        <w:autoSpaceDN/>
        <w:bidi w:val="0"/>
        <w:adjustRightInd/>
        <w:snapToGrid/>
        <w:spacing w:line="560" w:lineRule="exact"/>
        <w:ind w:firstLine="632" w:firstLineChars="200"/>
        <w:rPr>
          <w:rFonts w:hint="eastAsia" w:ascii="黑体" w:hAnsi="黑体" w:eastAsia="黑体" w:cs="仿宋_GB2312"/>
          <w:color w:val="auto"/>
          <w:kern w:val="0"/>
          <w:sz w:val="32"/>
          <w:szCs w:val="32"/>
        </w:rPr>
      </w:pPr>
    </w:p>
    <w:p w14:paraId="25177967">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 xml:space="preserve">第十条  </w:t>
      </w:r>
      <w:r>
        <w:rPr>
          <w:rFonts w:hint="eastAsia" w:ascii="仿宋_GB2312" w:hAnsi="仿宋_GB2312" w:eastAsia="仿宋_GB2312" w:cs="仿宋_GB2312"/>
          <w:color w:val="auto"/>
          <w:kern w:val="0"/>
          <w:sz w:val="32"/>
          <w:szCs w:val="32"/>
        </w:rPr>
        <w:t>参加见习人员根据各地发布的见习单位和岗位信息按规定自愿报名参加。具体流程如下：</w:t>
      </w:r>
    </w:p>
    <w:p w14:paraId="10713CA6">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rPr>
        <w:t>（一）信息发布。见习单位完成认定后，应通过</w:t>
      </w:r>
      <w:r>
        <w:rPr>
          <w:rFonts w:hint="eastAsia" w:ascii="仿宋_GB2312" w:hAnsi="仿宋_GB2312" w:eastAsia="仿宋_GB2312" w:cs="仿宋_GB2312"/>
          <w:color w:val="auto"/>
          <w:sz w:val="32"/>
          <w:szCs w:val="32"/>
        </w:rPr>
        <w:t>“山东公共就业人才服务网上服务大厅”</w:t>
      </w:r>
      <w:r>
        <w:rPr>
          <w:rFonts w:hint="eastAsia" w:ascii="仿宋_GB2312" w:hAnsi="仿宋_GB2312" w:eastAsia="仿宋_GB2312" w:cs="仿宋_GB2312"/>
          <w:color w:val="auto"/>
          <w:kern w:val="0"/>
          <w:sz w:val="32"/>
          <w:szCs w:val="32"/>
        </w:rPr>
        <w:t>向社会及时发布见习岗位名称、岗位数量及联系方式等信息，可通过本级</w:t>
      </w:r>
      <w:r>
        <w:rPr>
          <w:rFonts w:hint="eastAsia" w:ascii="仿宋_GB2312" w:hAnsi="仿宋_GB2312" w:eastAsia="仿宋_GB2312" w:cs="仿宋_GB2312"/>
          <w:color w:val="auto"/>
          <w:sz w:val="32"/>
          <w:szCs w:val="32"/>
        </w:rPr>
        <w:t>人力资源社会保障部门门户网站加大宣传</w:t>
      </w:r>
      <w:r>
        <w:rPr>
          <w:rFonts w:hint="eastAsia" w:ascii="仿宋_GB2312" w:hAnsi="仿宋_GB2312" w:eastAsia="仿宋_GB2312" w:cs="仿宋_GB2312"/>
          <w:color w:val="auto"/>
          <w:kern w:val="0"/>
          <w:sz w:val="32"/>
          <w:szCs w:val="32"/>
        </w:rPr>
        <w:t>；</w:t>
      </w:r>
    </w:p>
    <w:p w14:paraId="435CE3B0">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（二）人员招募。采用人员主动报名的方式进行；</w:t>
      </w:r>
    </w:p>
    <w:p w14:paraId="726BE94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（三）签订就业见习协议。达成见习意向后，见习单位与见习人员要及时签订《就业见习协议书》（见附件1）；</w:t>
      </w:r>
    </w:p>
    <w:p w14:paraId="76EEEE71">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备案审核。签订《就业见习协议书》后，见习单位应在30日内通过“山东公共就业人才服务网上服务大厅”登记见习人员基本信息，上传相关材料，进行人员备案。人力资源社会保障部门收到备案申请后，应在15个工作日内对相关信息做出审核决定。</w:t>
      </w:r>
    </w:p>
    <w:p w14:paraId="3D36D93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黑体"/>
          <w:color w:val="auto"/>
          <w:sz w:val="32"/>
          <w:szCs w:val="32"/>
        </w:rPr>
        <w:t>第十一条</w:t>
      </w:r>
      <w:r>
        <w:rPr>
          <w:rFonts w:hint="eastAsia" w:ascii="仿宋_GB2312" w:hAnsi="黑体" w:eastAsia="仿宋_GB2312" w:cs="黑体"/>
          <w:color w:val="auto"/>
          <w:sz w:val="32"/>
          <w:szCs w:val="32"/>
        </w:rPr>
        <w:t xml:space="preserve">  </w:t>
      </w:r>
      <w:r>
        <w:rPr>
          <w:rFonts w:hint="eastAsia" w:ascii="仿宋_GB2312" w:hAnsi="仿宋_GB2312" w:eastAsia="仿宋_GB2312" w:cs="仿宋_GB2312"/>
          <w:color w:val="auto"/>
          <w:kern w:val="0"/>
          <w:sz w:val="32"/>
          <w:szCs w:val="32"/>
        </w:rPr>
        <w:t>见习期限</w:t>
      </w:r>
    </w:p>
    <w:p w14:paraId="6863E44F">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见习期限一般为3-12个月，具体期限由见习单位和见习人员协商确定。</w:t>
      </w:r>
    </w:p>
    <w:p w14:paraId="6F7F6E57">
      <w:pPr>
        <w:keepNext w:val="0"/>
        <w:keepLines w:val="0"/>
        <w:pageBreakBefore w:val="0"/>
        <w:widowControl/>
        <w:kinsoku/>
        <w:wordWrap/>
        <w:topLinePunct w:val="0"/>
        <w:autoSpaceDE/>
        <w:autoSpaceDN/>
        <w:bidi w:val="0"/>
        <w:adjustRightInd/>
        <w:snapToGrid/>
        <w:spacing w:line="560" w:lineRule="exact"/>
        <w:ind w:firstLine="632" w:firstLineChars="200"/>
        <w:jc w:val="left"/>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第十二条</w:t>
      </w:r>
      <w:r>
        <w:rPr>
          <w:rFonts w:hint="eastAsia" w:ascii="仿宋_GB2312" w:hAnsi="仿宋_GB2312" w:eastAsia="仿宋_GB2312" w:cs="仿宋_GB2312"/>
          <w:color w:val="auto"/>
          <w:kern w:val="0"/>
          <w:sz w:val="32"/>
          <w:szCs w:val="32"/>
        </w:rPr>
        <w:t xml:space="preserve"> </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bidi="ar"/>
        </w:rPr>
        <w:t>同一见习人员就业见习补贴只可享受一次,不得重复享受。</w:t>
      </w:r>
    </w:p>
    <w:p w14:paraId="365BE3D9">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黑体"/>
          <w:color w:val="auto"/>
          <w:sz w:val="32"/>
          <w:szCs w:val="32"/>
        </w:rPr>
        <w:t>第十三条</w:t>
      </w:r>
      <w:r>
        <w:rPr>
          <w:rFonts w:hint="eastAsia" w:ascii="仿宋_GB2312" w:hAnsi="黑体" w:eastAsia="仿宋_GB2312" w:cs="黑体"/>
          <w:color w:val="auto"/>
          <w:sz w:val="32"/>
          <w:szCs w:val="32"/>
        </w:rPr>
        <w:t xml:space="preserve">  </w:t>
      </w:r>
      <w:r>
        <w:rPr>
          <w:rFonts w:hint="eastAsia" w:ascii="仿宋_GB2312" w:hAnsi="仿宋_GB2312" w:eastAsia="仿宋_GB2312" w:cs="仿宋_GB2312"/>
          <w:color w:val="auto"/>
          <w:kern w:val="0"/>
          <w:sz w:val="32"/>
          <w:szCs w:val="32"/>
        </w:rPr>
        <w:t>见习人员待遇</w:t>
      </w:r>
    </w:p>
    <w:p w14:paraId="1BAE1871">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见习单位按月给予见习人员不低于同期当地最低工资标准的基本生活费，对见习期未满提前离岗的应根据其实际参加见习时间发放；</w:t>
      </w:r>
    </w:p>
    <w:p w14:paraId="18023DF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见习单位应为见习人员缴纳工伤保险或购买人身意外伤害保险；</w:t>
      </w:r>
    </w:p>
    <w:p w14:paraId="27406244">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鼓励有条件的见习单位适当提高基本生活费标准；</w:t>
      </w:r>
    </w:p>
    <w:p w14:paraId="5B3871EF">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见习期满后未留用就业的，可获得公共就业服务机构免费提供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就业政策咨询、职业指导等后续服务。</w:t>
      </w:r>
    </w:p>
    <w:p w14:paraId="68A6EF68">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第十四条</w:t>
      </w:r>
      <w:r>
        <w:rPr>
          <w:rFonts w:hint="eastAsia" w:ascii="黑体" w:hAnsi="黑体" w:eastAsia="黑体"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见习单位应当如实记录和保存见习人员出勤情况，根据实际出勤，按月通过社会保障卡或银行卡向见习人员发放基本生活费，基本生活费不得以工资形式发放。</w:t>
      </w:r>
    </w:p>
    <w:p w14:paraId="309ED6F8">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第十五条</w:t>
      </w:r>
      <w:r>
        <w:rPr>
          <w:rFonts w:ascii="黑体" w:hAnsi="黑体" w:eastAsia="黑体" w:cs="仿宋_GB2312"/>
          <w:color w:val="auto"/>
          <w:kern w:val="0"/>
          <w:sz w:val="32"/>
          <w:szCs w:val="32"/>
        </w:rPr>
        <w:t xml:space="preserve">  </w:t>
      </w:r>
      <w:r>
        <w:rPr>
          <w:rFonts w:hint="eastAsia" w:ascii="仿宋_GB2312" w:hAnsi="仿宋_GB2312" w:eastAsia="仿宋_GB2312" w:cs="仿宋_GB2312"/>
          <w:color w:val="auto"/>
          <w:kern w:val="0"/>
          <w:sz w:val="32"/>
          <w:szCs w:val="32"/>
        </w:rPr>
        <w:t>就业见习结束后，见习单位应当为见习人员出具《山东省就业见习鉴定表》（见附件2）。</w:t>
      </w:r>
    </w:p>
    <w:p w14:paraId="18414C78">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第十六条</w:t>
      </w:r>
      <w:r>
        <w:rPr>
          <w:rFonts w:ascii="黑体" w:hAnsi="黑体" w:eastAsia="黑体" w:cs="仿宋_GB2312"/>
          <w:color w:val="auto"/>
          <w:kern w:val="0"/>
          <w:sz w:val="32"/>
          <w:szCs w:val="32"/>
        </w:rPr>
        <w:t xml:space="preserve">  </w:t>
      </w:r>
      <w:r>
        <w:rPr>
          <w:rFonts w:hint="eastAsia" w:ascii="仿宋_GB2312" w:hAnsi="仿宋_GB2312" w:eastAsia="仿宋_GB2312" w:cs="仿宋_GB2312"/>
          <w:color w:val="auto"/>
          <w:kern w:val="0"/>
          <w:sz w:val="32"/>
          <w:szCs w:val="32"/>
        </w:rPr>
        <w:t>见习岗位不得随意变更，确需调整的，应双方协商后书面确认，并报当地人力资源社会保障部门备案。见习人员增加或减少的，见习单位应及时向人力资源社会保障部门办理相关手续。</w:t>
      </w:r>
    </w:p>
    <w:p w14:paraId="6513E5E7">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第十七条</w:t>
      </w:r>
      <w:r>
        <w:rPr>
          <w:rFonts w:ascii="黑体" w:hAnsi="黑体" w:eastAsia="黑体" w:cs="仿宋_GB2312"/>
          <w:color w:val="auto"/>
          <w:kern w:val="0"/>
          <w:sz w:val="32"/>
          <w:szCs w:val="32"/>
        </w:rPr>
        <w:t xml:space="preserve">  </w:t>
      </w:r>
      <w:r>
        <w:rPr>
          <w:rFonts w:hint="eastAsia" w:ascii="仿宋_GB2312" w:hAnsi="仿宋_GB2312" w:eastAsia="仿宋_GB2312" w:cs="仿宋_GB2312"/>
          <w:color w:val="auto"/>
          <w:kern w:val="0"/>
          <w:sz w:val="32"/>
          <w:szCs w:val="32"/>
        </w:rPr>
        <w:t>鼓励见习单位留用见习人员，签订劳动合同并按规定缴纳社会保险。</w:t>
      </w:r>
    </w:p>
    <w:p w14:paraId="26AC5834">
      <w:pPr>
        <w:keepNext w:val="0"/>
        <w:keepLines w:val="0"/>
        <w:pageBreakBefore w:val="0"/>
        <w:kinsoku/>
        <w:wordWrap/>
        <w:topLinePunct w:val="0"/>
        <w:autoSpaceDE/>
        <w:autoSpaceDN/>
        <w:bidi w:val="0"/>
        <w:adjustRightInd/>
        <w:snapToGrid/>
        <w:spacing w:line="560" w:lineRule="exact"/>
        <w:ind w:firstLine="632" w:firstLineChars="200"/>
        <w:rPr>
          <w:rFonts w:ascii="黑体" w:hAnsi="黑体" w:eastAsia="黑体" w:cs="黑体"/>
          <w:color w:val="auto"/>
          <w:sz w:val="32"/>
          <w:szCs w:val="32"/>
        </w:rPr>
      </w:pPr>
    </w:p>
    <w:p w14:paraId="1201E54B">
      <w:pPr>
        <w:keepNext w:val="0"/>
        <w:keepLines w:val="0"/>
        <w:pageBreakBefore w:val="0"/>
        <w:kinsoku/>
        <w:wordWrap/>
        <w:topLinePunct w:val="0"/>
        <w:autoSpaceDE/>
        <w:autoSpaceDN/>
        <w:bidi w:val="0"/>
        <w:adjustRightInd/>
        <w:snapToGrid/>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第四章</w:t>
      </w:r>
      <w:r>
        <w:rPr>
          <w:rFonts w:ascii="黑体" w:hAnsi="黑体" w:eastAsia="黑体" w:cs="黑体"/>
          <w:color w:val="auto"/>
          <w:sz w:val="32"/>
          <w:szCs w:val="32"/>
        </w:rPr>
        <w:t xml:space="preserve">  </w:t>
      </w:r>
      <w:r>
        <w:rPr>
          <w:rFonts w:hint="eastAsia" w:ascii="黑体" w:hAnsi="黑体" w:eastAsia="黑体" w:cs="黑体"/>
          <w:color w:val="auto"/>
          <w:sz w:val="32"/>
          <w:szCs w:val="32"/>
        </w:rPr>
        <w:t>见习单位管理</w:t>
      </w:r>
    </w:p>
    <w:p w14:paraId="7E0606D9">
      <w:pPr>
        <w:keepNext w:val="0"/>
        <w:keepLines w:val="0"/>
        <w:pageBreakBefore w:val="0"/>
        <w:kinsoku/>
        <w:wordWrap/>
        <w:topLinePunct w:val="0"/>
        <w:autoSpaceDE/>
        <w:autoSpaceDN/>
        <w:bidi w:val="0"/>
        <w:adjustRightInd/>
        <w:snapToGrid/>
        <w:spacing w:line="560" w:lineRule="exact"/>
        <w:ind w:firstLine="632" w:firstLineChars="200"/>
        <w:rPr>
          <w:rFonts w:hint="eastAsia" w:ascii="黑体" w:hAnsi="黑体" w:eastAsia="黑体" w:cs="黑体"/>
          <w:color w:val="auto"/>
          <w:sz w:val="32"/>
          <w:szCs w:val="32"/>
        </w:rPr>
      </w:pPr>
    </w:p>
    <w:p w14:paraId="7A41E71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第十八条 </w:t>
      </w:r>
      <w:r>
        <w:rPr>
          <w:rFonts w:ascii="黑体" w:hAnsi="黑体" w:eastAsia="黑体" w:cs="黑体"/>
          <w:color w:val="auto"/>
          <w:sz w:val="32"/>
          <w:szCs w:val="32"/>
        </w:rPr>
        <w:t xml:space="preserve"> </w:t>
      </w:r>
      <w:r>
        <w:rPr>
          <w:rFonts w:hint="eastAsia" w:ascii="仿宋_GB2312" w:hAnsi="仿宋_GB2312" w:eastAsia="仿宋_GB2312" w:cs="仿宋_GB2312"/>
          <w:color w:val="auto"/>
          <w:sz w:val="31"/>
          <w:szCs w:val="31"/>
          <w:shd w:val="clear" w:color="auto" w:fill="FFFFFF"/>
        </w:rPr>
        <w:t>见习单位实行申请设立制，</w:t>
      </w:r>
      <w:r>
        <w:rPr>
          <w:rFonts w:hint="eastAsia" w:ascii="仿宋_GB2312" w:hAnsi="仿宋_GB2312" w:eastAsia="仿宋_GB2312" w:cs="仿宋_GB2312"/>
          <w:color w:val="auto"/>
          <w:sz w:val="32"/>
          <w:szCs w:val="32"/>
        </w:rPr>
        <w:t>各市辖区内的企事业单位、社会组织等用人单位，</w:t>
      </w:r>
      <w:r>
        <w:rPr>
          <w:rFonts w:hint="eastAsia" w:ascii="仿宋_GB2312" w:hAnsi="仿宋_GB2312" w:eastAsia="仿宋_GB2312" w:cs="仿宋_GB2312"/>
          <w:color w:val="auto"/>
          <w:sz w:val="31"/>
          <w:szCs w:val="31"/>
          <w:shd w:val="clear" w:color="auto" w:fill="FFFFFF"/>
        </w:rPr>
        <w:t>符合下列条件的，</w:t>
      </w:r>
      <w:r>
        <w:rPr>
          <w:rFonts w:hint="eastAsia" w:ascii="仿宋_GB2312" w:hAnsi="仿宋_GB2312" w:eastAsia="仿宋_GB2312" w:cs="仿宋_GB2312"/>
          <w:color w:val="auto"/>
          <w:sz w:val="32"/>
          <w:szCs w:val="32"/>
        </w:rPr>
        <w:t>可申请认定见习单位：</w:t>
      </w:r>
    </w:p>
    <w:p w14:paraId="5A9F3AE5">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（一）具有较强的社会责任感，内部制度健全，管理规范，能够按照有关规定对见习人员进行正规有效的管理，优先吸纳</w:t>
      </w:r>
      <w:r>
        <w:rPr>
          <w:rFonts w:hint="eastAsia" w:ascii="Times New Roman" w:hAnsi="Times New Roman" w:eastAsia="仿宋_GB2312" w:cs="Times New Roman"/>
          <w:color w:val="auto"/>
          <w:kern w:val="0"/>
          <w:sz w:val="32"/>
        </w:rPr>
        <w:t>先进制造业、绿色产业、数字经济等新兴产业以及专精特新“小巨人”企业等作为见习单位；</w:t>
      </w:r>
    </w:p>
    <w:p w14:paraId="6533B236">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（二）提供的见习岗位符合本地产业发展重点和青年群体就业能力提升需要，并能提供一定数量的管理、技术、科研类岗位；</w:t>
      </w:r>
    </w:p>
    <w:p w14:paraId="5EB99FFC">
      <w:pPr>
        <w:pStyle w:val="2"/>
        <w:keepNext w:val="0"/>
        <w:keepLines w:val="0"/>
        <w:pageBreakBefore w:val="0"/>
        <w:kinsoku/>
        <w:wordWrap/>
        <w:topLinePunct w:val="0"/>
        <w:autoSpaceDE/>
        <w:autoSpaceDN/>
        <w:bidi w:val="0"/>
        <w:adjustRightInd/>
        <w:snapToGrid/>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（三）配备专门的带教老师，并具备开展就业见习活动的场所、设备设施等，人身意外风险较低，符合国家规定的劳动保护措施和劳动安全卫生条件，具有完善的就业见习管理标准和规程。</w:t>
      </w:r>
    </w:p>
    <w:p w14:paraId="516E21A4">
      <w:pPr>
        <w:keepNext w:val="0"/>
        <w:keepLines w:val="0"/>
        <w:pageBreakBefore w:val="0"/>
        <w:kinsoku/>
        <w:wordWrap/>
        <w:topLinePunct w:val="0"/>
        <w:autoSpaceDE/>
        <w:autoSpaceDN/>
        <w:bidi w:val="0"/>
        <w:adjustRightInd/>
        <w:snapToGrid/>
        <w:spacing w:line="560" w:lineRule="exact"/>
        <w:ind w:firstLine="632" w:firstLineChars="200"/>
        <w:rPr>
          <w:rFonts w:ascii="仿宋_GB2312" w:eastAsia="仿宋_GB2312"/>
          <w:color w:val="auto"/>
          <w:sz w:val="32"/>
          <w:szCs w:val="32"/>
        </w:rPr>
      </w:pPr>
      <w:r>
        <w:rPr>
          <w:rFonts w:hint="eastAsia" w:ascii="黑体" w:hAnsi="黑体" w:eastAsia="黑体"/>
          <w:color w:val="auto"/>
          <w:sz w:val="32"/>
          <w:szCs w:val="32"/>
        </w:rPr>
        <w:t>第十九条</w:t>
      </w:r>
      <w:r>
        <w:rPr>
          <w:rFonts w:hint="eastAsia" w:ascii="仿宋_GB2312" w:eastAsia="仿宋_GB2312"/>
          <w:color w:val="auto"/>
          <w:sz w:val="32"/>
          <w:szCs w:val="32"/>
        </w:rPr>
        <w:t xml:space="preserve">  见习单位认定程序：</w:t>
      </w:r>
    </w:p>
    <w:p w14:paraId="48EDE7FC">
      <w:pPr>
        <w:keepNext w:val="0"/>
        <w:keepLines w:val="0"/>
        <w:pageBreakBefore w:val="0"/>
        <w:kinsoku/>
        <w:wordWrap/>
        <w:topLinePunct w:val="0"/>
        <w:autoSpaceDE/>
        <w:autoSpaceDN/>
        <w:bidi w:val="0"/>
        <w:adjustRightInd/>
        <w:snapToGrid/>
        <w:spacing w:line="560" w:lineRule="exact"/>
        <w:ind w:firstLine="640"/>
        <w:rPr>
          <w:rFonts w:ascii="仿宋_GB2312" w:hAnsi="仿宋_GB2312" w:eastAsia="仿宋_GB2312" w:cs="仿宋_GB2312"/>
          <w:color w:val="auto"/>
          <w:sz w:val="32"/>
          <w:szCs w:val="32"/>
        </w:rPr>
      </w:pPr>
      <w:r>
        <w:rPr>
          <w:rFonts w:hint="eastAsia" w:ascii="仿宋_GB2312" w:eastAsia="仿宋_GB2312"/>
          <w:color w:val="auto"/>
          <w:sz w:val="32"/>
          <w:szCs w:val="32"/>
        </w:rPr>
        <w:t>（一）单位申报。见习单位申请实行“全程网办”，</w:t>
      </w:r>
      <w:r>
        <w:rPr>
          <w:rFonts w:hint="eastAsia" w:ascii="仿宋_GB2312" w:hAnsi="仿宋_GB2312" w:eastAsia="仿宋_GB2312" w:cs="仿宋_GB2312"/>
          <w:color w:val="auto"/>
          <w:sz w:val="32"/>
          <w:szCs w:val="32"/>
        </w:rPr>
        <w:t>申请单位通过“山东公共就业人才服务网上服务大厅”线上提交《山东省见习单位申报表》（见附件3）、统一社会信用代码证或事业单位法人证书；</w:t>
      </w:r>
    </w:p>
    <w:p w14:paraId="718E26C6">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Microsoft YaHei UI" w:hAnsi="Microsoft YaHei UI" w:eastAsia="Microsoft YaHei UI" w:cs="Microsoft YaHei UI"/>
          <w:color w:val="auto"/>
          <w:szCs w:val="24"/>
        </w:rPr>
      </w:pPr>
      <w:r>
        <w:rPr>
          <w:rFonts w:hint="eastAsia" w:ascii="仿宋_GB2312" w:hAnsi="仿宋_GB2312" w:eastAsia="仿宋_GB2312" w:cs="仿宋_GB2312"/>
          <w:color w:val="auto"/>
          <w:sz w:val="32"/>
          <w:szCs w:val="32"/>
        </w:rPr>
        <w:t>（二）</w:t>
      </w:r>
      <w:r>
        <w:rPr>
          <w:rFonts w:hint="eastAsia" w:ascii="仿宋_GB2312" w:hAnsi="黑体" w:eastAsia="仿宋_GB2312" w:cs="黑体"/>
          <w:color w:val="auto"/>
          <w:kern w:val="2"/>
          <w:sz w:val="32"/>
          <w:szCs w:val="32"/>
        </w:rPr>
        <w:t>审核评估。人力资源社会保障部门收到申请资料后，15</w:t>
      </w:r>
      <w:r>
        <w:rPr>
          <w:rFonts w:hint="eastAsia" w:ascii="仿宋_GB2312" w:hAnsi="黑体" w:eastAsia="仿宋_GB2312" w:cs="黑体"/>
          <w:color w:val="auto"/>
          <w:sz w:val="32"/>
          <w:szCs w:val="32"/>
        </w:rPr>
        <w:t>个工作日内对其经营场所、见习制度、培训条件、师资配备、劳动关系等进行考察评估，提出审核意见。</w:t>
      </w:r>
      <w:r>
        <w:rPr>
          <w:rFonts w:hint="eastAsia" w:ascii="仿宋_GB2312" w:hAnsi="仿宋_GB2312" w:eastAsia="仿宋_GB2312" w:cs="仿宋_GB2312"/>
          <w:color w:val="auto"/>
          <w:sz w:val="32"/>
          <w:szCs w:val="32"/>
        </w:rPr>
        <w:t>符合条件的，在山东省公共就业人才服务信息系统中进行登记确认；</w:t>
      </w:r>
    </w:p>
    <w:p w14:paraId="04BC7607">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（三）认定公布。</w:t>
      </w:r>
      <w:r>
        <w:rPr>
          <w:rFonts w:hint="eastAsia" w:ascii="仿宋_GB2312" w:hAnsi="黑体" w:eastAsia="仿宋_GB2312" w:cs="黑体"/>
          <w:color w:val="auto"/>
          <w:sz w:val="32"/>
          <w:szCs w:val="32"/>
        </w:rPr>
        <w:t>人力资源社会保障部门</w:t>
      </w:r>
      <w:r>
        <w:rPr>
          <w:rFonts w:hint="eastAsia" w:ascii="仿宋_GB2312" w:hAnsi="仿宋_GB2312" w:eastAsia="仿宋_GB2312" w:cs="仿宋_GB2312"/>
          <w:color w:val="auto"/>
          <w:kern w:val="0"/>
          <w:sz w:val="32"/>
          <w:szCs w:val="32"/>
        </w:rPr>
        <w:t>对经审核认定具备就业见习条件的单位，定期集中通过门户网站等媒体向社会公布，接受社会监督。</w:t>
      </w:r>
    </w:p>
    <w:p w14:paraId="01B48771">
      <w:pPr>
        <w:pStyle w:val="12"/>
        <w:keepNext w:val="0"/>
        <w:keepLines w:val="0"/>
        <w:pageBreakBefore w:val="0"/>
        <w:kinsoku/>
        <w:wordWrap/>
        <w:topLinePunct w:val="0"/>
        <w:autoSpaceDE/>
        <w:autoSpaceDN/>
        <w:bidi w:val="0"/>
        <w:adjustRightInd/>
        <w:snapToGrid/>
        <w:spacing w:line="560" w:lineRule="exact"/>
        <w:ind w:left="0" w:leftChars="0" w:firstLine="64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第二十条</w:t>
      </w:r>
      <w:r>
        <w:rPr>
          <w:rFonts w:hint="eastAsia" w:ascii="仿宋_GB2312" w:hAnsi="仿宋_GB2312" w:eastAsia="仿宋_GB2312" w:cs="仿宋_GB2312"/>
          <w:color w:val="auto"/>
          <w:kern w:val="0"/>
          <w:sz w:val="32"/>
          <w:szCs w:val="32"/>
        </w:rPr>
        <w:t xml:space="preserve"> </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rPr>
        <w:t>见习单位职责：</w:t>
      </w:r>
    </w:p>
    <w:p w14:paraId="33B1C20B">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eastAsia="仿宋_GB2312"/>
          <w:color w:val="auto"/>
          <w:sz w:val="32"/>
          <w:szCs w:val="32"/>
        </w:rPr>
        <w:t>（一）</w:t>
      </w:r>
      <w:r>
        <w:rPr>
          <w:rFonts w:hint="eastAsia" w:ascii="仿宋_GB2312" w:hAnsi="仿宋_GB2312" w:eastAsia="仿宋_GB2312" w:cs="仿宋_GB2312"/>
          <w:color w:val="auto"/>
          <w:kern w:val="0"/>
          <w:sz w:val="32"/>
          <w:szCs w:val="32"/>
        </w:rPr>
        <w:t>负责按照见习计划，接受见习人员报名，制定见习方案，组织开展见习和就业培训活动，落实各项见习政策；</w:t>
      </w:r>
    </w:p>
    <w:p w14:paraId="64DA529D">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0"/>
          <w:sz w:val="32"/>
          <w:szCs w:val="32"/>
        </w:rPr>
        <w:t>负责见习人员思想政治教育，引导见习人员树立正确 的人生观、价值观、就业观，对见习人员进行安全生产教育、技能提升培训等；</w:t>
      </w:r>
    </w:p>
    <w:p w14:paraId="0E1E1CB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kern w:val="0"/>
          <w:sz w:val="32"/>
          <w:szCs w:val="32"/>
        </w:rPr>
        <w:t>负责建立带教制度，委派</w:t>
      </w:r>
      <w:r>
        <w:rPr>
          <w:rFonts w:hint="eastAsia" w:ascii="仿宋_GB2312" w:hAnsi="仿宋_GB2312" w:eastAsia="仿宋_GB2312" w:cs="仿宋_GB2312"/>
          <w:color w:val="auto"/>
          <w:sz w:val="32"/>
          <w:szCs w:val="32"/>
        </w:rPr>
        <w:t>实践经验丰富、业务素质好、责任心强的技术或管理人员作为带教老师，</w:t>
      </w:r>
      <w:r>
        <w:rPr>
          <w:rFonts w:hint="eastAsia" w:ascii="仿宋_GB2312" w:hAnsi="仿宋_GB2312" w:eastAsia="仿宋_GB2312" w:cs="仿宋_GB2312"/>
          <w:color w:val="auto"/>
          <w:kern w:val="0"/>
          <w:sz w:val="32"/>
          <w:szCs w:val="32"/>
        </w:rPr>
        <w:t>帮助见习人员熟悉岗位内容，提升工作能力；</w:t>
      </w:r>
    </w:p>
    <w:p w14:paraId="68BBAB4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kern w:val="0"/>
          <w:sz w:val="32"/>
          <w:szCs w:val="32"/>
        </w:rPr>
        <w:t>按规定为见习人员发放基本生活费，缴纳工伤保险或办理人身意外伤害保险；</w:t>
      </w:r>
    </w:p>
    <w:p w14:paraId="410812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（五）负责对见习情况进行考核，出具《山东省就业见习鉴定表》;</w:t>
      </w:r>
    </w:p>
    <w:p w14:paraId="2C256B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kern w:val="0"/>
          <w:sz w:val="32"/>
          <w:szCs w:val="32"/>
        </w:rPr>
        <w:t>积极推荐并吸纳见习期间表现优秀的见习人员就业。</w:t>
      </w:r>
    </w:p>
    <w:p w14:paraId="2E755106">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第二十一条  </w:t>
      </w:r>
      <w:r>
        <w:rPr>
          <w:rFonts w:hint="eastAsia" w:ascii="仿宋_GB2312" w:hAnsi="仿宋_GB2312" w:eastAsia="仿宋_GB2312" w:cs="仿宋_GB2312"/>
          <w:color w:val="auto"/>
          <w:sz w:val="32"/>
          <w:szCs w:val="32"/>
        </w:rPr>
        <w:t>就业见习单位有下列情形之一的，由人力资源社会保障部门核实有关情况后，取消其见习单位资格，且1年内不得再次申请：</w:t>
      </w:r>
    </w:p>
    <w:p w14:paraId="36DF99CB">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（一）不再具备本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第十八条规定条件，无法正常开展就业见习工作的；</w:t>
      </w:r>
    </w:p>
    <w:p w14:paraId="4D4D53F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（二）存在扣押见习人员证件、拖欠基本生活费等行为的；</w:t>
      </w:r>
    </w:p>
    <w:p w14:paraId="29D8A9E5">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（三）提供虚假材料或拒不配合指导、监督、检查工作的；</w:t>
      </w:r>
    </w:p>
    <w:p w14:paraId="6EDCE6BC">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（四）一个自然年度内未提供见习岗位或未开展见习活动的；</w:t>
      </w:r>
    </w:p>
    <w:p w14:paraId="40E73713">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（五）见习单位（事业单位除外）连续两个自然年度内留用率均低于10%。</w:t>
      </w:r>
    </w:p>
    <w:p w14:paraId="301692AB">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对取消的就业见习单位，不再新增见习人员，现有见习人员补贴发放至完成见习活动为止。</w:t>
      </w:r>
    </w:p>
    <w:p w14:paraId="7A861330">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对骗取、套取就业见习补贴，取消见习单位资格，由发放地人力资源社会保障部门追回相应资金。涉嫌犯罪的，移交有关部门追究刑事责任。</w:t>
      </w:r>
    </w:p>
    <w:p w14:paraId="2E59D3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第二十三条</w:t>
      </w:r>
      <w:r>
        <w:rPr>
          <w:rFonts w:ascii="仿宋_GB2312" w:hAnsi="仿宋_GB2312" w:eastAsia="仿宋_GB2312" w:cs="仿宋_GB2312"/>
          <w:color w:val="auto"/>
          <w:kern w:val="0"/>
          <w:sz w:val="32"/>
          <w:szCs w:val="32"/>
        </w:rPr>
        <w:t xml:space="preserve">  </w:t>
      </w:r>
      <w:r>
        <w:rPr>
          <w:rFonts w:hint="eastAsia" w:ascii="仿宋_GB2312" w:hAnsi="黑体" w:eastAsia="仿宋_GB2312" w:cs="黑体"/>
          <w:color w:val="auto"/>
          <w:sz w:val="32"/>
          <w:szCs w:val="32"/>
        </w:rPr>
        <w:t>人力资源社会保障部门</w:t>
      </w:r>
      <w:r>
        <w:rPr>
          <w:rFonts w:hint="eastAsia" w:ascii="仿宋_GB2312" w:hAnsi="仿宋_GB2312" w:eastAsia="仿宋_GB2312" w:cs="仿宋_GB2312"/>
          <w:color w:val="auto"/>
          <w:kern w:val="0"/>
          <w:sz w:val="32"/>
          <w:szCs w:val="32"/>
        </w:rPr>
        <w:t>每年组织对见习单位见习工作开展情况进行总结评估。 </w:t>
      </w:r>
    </w:p>
    <w:p w14:paraId="25335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rPr>
      </w:pPr>
    </w:p>
    <w:p w14:paraId="74F316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第五章</w:t>
      </w:r>
      <w:r>
        <w:rPr>
          <w:rFonts w:ascii="黑体" w:hAnsi="黑体" w:eastAsia="黑体" w:cs="黑体"/>
          <w:color w:val="auto"/>
          <w:sz w:val="32"/>
          <w:szCs w:val="32"/>
        </w:rPr>
        <w:t xml:space="preserve"> </w:t>
      </w:r>
      <w:r>
        <w:rPr>
          <w:rFonts w:hint="eastAsia" w:ascii="黑体" w:hAnsi="黑体" w:eastAsia="黑体" w:cs="黑体"/>
          <w:color w:val="auto"/>
          <w:sz w:val="32"/>
          <w:szCs w:val="32"/>
        </w:rPr>
        <w:t xml:space="preserve"> 见习人员管理</w:t>
      </w:r>
    </w:p>
    <w:p w14:paraId="6D4AC7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仿宋_GB2312"/>
          <w:color w:val="auto"/>
          <w:kern w:val="0"/>
          <w:sz w:val="32"/>
          <w:szCs w:val="32"/>
        </w:rPr>
      </w:pPr>
    </w:p>
    <w:p w14:paraId="283FD6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highlight w:val="yellow"/>
        </w:rPr>
      </w:pPr>
      <w:r>
        <w:rPr>
          <w:rFonts w:hint="eastAsia" w:ascii="黑体" w:hAnsi="黑体" w:eastAsia="黑体" w:cs="仿宋_GB2312"/>
          <w:color w:val="auto"/>
          <w:kern w:val="0"/>
          <w:sz w:val="32"/>
          <w:szCs w:val="32"/>
        </w:rPr>
        <w:t>第二十四条</w:t>
      </w:r>
      <w:r>
        <w:rPr>
          <w:rFonts w:hint="eastAsia" w:ascii="仿宋_GB2312" w:hAnsi="仿宋_GB2312" w:eastAsia="仿宋_GB2312" w:cs="仿宋_GB2312"/>
          <w:color w:val="auto"/>
          <w:kern w:val="0"/>
          <w:sz w:val="32"/>
          <w:szCs w:val="32"/>
        </w:rPr>
        <w:t xml:space="preserve"> </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rPr>
        <w:t>符合下列条件之一的人员可以申请参加就业见习：</w:t>
      </w:r>
    </w:p>
    <w:p w14:paraId="2F49BE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（一）离校2年内未就业高校毕业生；</w:t>
      </w:r>
    </w:p>
    <w:p w14:paraId="36C162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（二）16—24岁登记失业青年。</w:t>
      </w:r>
    </w:p>
    <w:p w14:paraId="6ECB65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高校毕业生是指在中华人民共和国境内接受普通高等学历教育取得普通高等学校毕业证书的毕业生（含技工院校高级工班、预备技师班、技师班和特殊教育院校职业教育类毕业生，下同），包括研究生和本科、专科（高职）毕业生，不包括函授、成人教育毕业生。符合条件的海外</w:t>
      </w:r>
      <w:r>
        <w:rPr>
          <w:rFonts w:hint="eastAsia" w:ascii="仿宋_GB2312" w:hAnsi="仿宋_GB2312" w:eastAsia="仿宋_GB2312" w:cs="仿宋_GB2312"/>
          <w:color w:val="auto"/>
          <w:kern w:val="0"/>
          <w:sz w:val="32"/>
          <w:szCs w:val="32"/>
          <w:lang w:val="en-US" w:eastAsia="zh-CN"/>
        </w:rPr>
        <w:t>高校留学回国人员、</w:t>
      </w:r>
      <w:r>
        <w:rPr>
          <w:rFonts w:hint="eastAsia" w:ascii="仿宋_GB2312" w:hAnsi="仿宋_GB2312" w:eastAsia="仿宋_GB2312" w:cs="仿宋_GB2312"/>
          <w:color w:val="auto"/>
          <w:kern w:val="0"/>
          <w:sz w:val="32"/>
          <w:szCs w:val="32"/>
        </w:rPr>
        <w:t>港澳台</w:t>
      </w:r>
      <w:r>
        <w:rPr>
          <w:rFonts w:hint="eastAsia" w:ascii="仿宋_GB2312" w:hAnsi="仿宋_GB2312" w:eastAsia="仿宋_GB2312" w:cs="仿宋_GB2312"/>
          <w:color w:val="auto"/>
          <w:kern w:val="0"/>
          <w:sz w:val="32"/>
          <w:szCs w:val="32"/>
          <w:lang w:val="en-US" w:eastAsia="zh-CN"/>
        </w:rPr>
        <w:t>高校</w:t>
      </w:r>
      <w:r>
        <w:rPr>
          <w:rFonts w:hint="eastAsia" w:ascii="仿宋_GB2312" w:hAnsi="仿宋_GB2312" w:eastAsia="仿宋_GB2312" w:cs="仿宋_GB2312"/>
          <w:color w:val="auto"/>
          <w:kern w:val="0"/>
          <w:sz w:val="32"/>
          <w:szCs w:val="32"/>
        </w:rPr>
        <w:t>毕业生同等享受就业见习补贴政策。</w:t>
      </w:r>
    </w:p>
    <w:p w14:paraId="502B453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“离校2年内”即离校时间至签订就业见习协议的时间小于2年，离校时间以毕业证书签章日期为准。</w:t>
      </w:r>
    </w:p>
    <w:p w14:paraId="5A2359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“未就业”状态即参加就业见习时未缴纳社会保险、名下无营业执照的情形，曾参加社会保险或登记过就业的不影响未就业状态认定。</w:t>
      </w:r>
    </w:p>
    <w:p w14:paraId="2EF061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16—24岁登记失业青年信息可以从人社部门的登记失业人员信息库获取。见习人员签订就业见习协议时的年龄应满16周岁且不满25周岁，年龄以身份证信息为准。</w:t>
      </w:r>
    </w:p>
    <w:p w14:paraId="3CC55CC3">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 xml:space="preserve">第二十五条  </w:t>
      </w:r>
      <w:r>
        <w:rPr>
          <w:rFonts w:hint="eastAsia" w:ascii="仿宋_GB2312" w:hAnsi="仿宋_GB2312" w:eastAsia="仿宋_GB2312" w:cs="仿宋_GB2312"/>
          <w:color w:val="auto"/>
          <w:kern w:val="0"/>
          <w:sz w:val="32"/>
          <w:szCs w:val="32"/>
        </w:rPr>
        <w:t>就业见习人员实行自愿报名，根据当地人力资源社会保障部门发布的见习单位和岗位信息按规定报名参加，允许跨行政区域参加就业见习。</w:t>
      </w:r>
    </w:p>
    <w:p w14:paraId="4134026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第二十六条</w:t>
      </w:r>
      <w:r>
        <w:rPr>
          <w:rFonts w:hint="eastAsia" w:ascii="仿宋_GB2312" w:hAnsi="仿宋_GB2312" w:eastAsia="仿宋_GB2312" w:cs="仿宋_GB2312"/>
          <w:color w:val="auto"/>
          <w:kern w:val="0"/>
          <w:sz w:val="32"/>
          <w:szCs w:val="32"/>
        </w:rPr>
        <w:t xml:space="preserve">  见习单位应当与参加见习人员签订《就业见习协议书》，明确见习时间、岗位、生活费标准和争议解决途径等。</w:t>
      </w:r>
    </w:p>
    <w:p w14:paraId="2CCF9B4A">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第二十七条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2"/>
          <w:sz w:val="32"/>
          <w:szCs w:val="32"/>
        </w:rPr>
        <w:t>若见习期间见习人员有下列情形之一的，见习单位可提前解除见习协议，提交</w:t>
      </w:r>
      <w:r>
        <w:rPr>
          <w:rFonts w:hint="eastAsia" w:ascii="仿宋_GB2312" w:hAnsi="仿宋_GB2312" w:eastAsia="仿宋_GB2312" w:cs="仿宋_GB2312"/>
          <w:color w:val="auto"/>
          <w:sz w:val="32"/>
          <w:szCs w:val="32"/>
        </w:rPr>
        <w:t>《山东省就业见习终止证明》</w:t>
      </w:r>
      <w:r>
        <w:rPr>
          <w:rFonts w:hint="eastAsia" w:ascii="仿宋_GB2312" w:hAnsi="仿宋_GB2312" w:eastAsia="仿宋_GB2312" w:cs="仿宋_GB2312"/>
          <w:color w:val="auto"/>
          <w:kern w:val="2"/>
          <w:sz w:val="32"/>
          <w:szCs w:val="32"/>
        </w:rPr>
        <w:t>（见附件4），报当地</w:t>
      </w:r>
      <w:r>
        <w:rPr>
          <w:rFonts w:hint="eastAsia" w:ascii="仿宋_GB2312" w:hAnsi="仿宋_GB2312" w:eastAsia="仿宋_GB2312" w:cs="仿宋_GB2312"/>
          <w:color w:val="auto"/>
          <w:sz w:val="32"/>
          <w:szCs w:val="32"/>
        </w:rPr>
        <w:t>人力资源社会保障部门</w:t>
      </w:r>
      <w:r>
        <w:rPr>
          <w:rFonts w:hint="eastAsia" w:ascii="仿宋_GB2312" w:hAnsi="仿宋_GB2312" w:eastAsia="仿宋_GB2312" w:cs="仿宋_GB2312"/>
          <w:color w:val="auto"/>
          <w:kern w:val="2"/>
          <w:sz w:val="32"/>
          <w:szCs w:val="32"/>
        </w:rPr>
        <w:t>备案：</w:t>
      </w:r>
    </w:p>
    <w:p w14:paraId="6E7B1101">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（一）双方协商一致的；</w:t>
      </w:r>
    </w:p>
    <w:p w14:paraId="2AAE5861">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（二）无故连续缺勤3天或累计缺勤7天及以上的；</w:t>
      </w:r>
    </w:p>
    <w:p w14:paraId="14452D4F">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不遵守见习单位规章制度且教育无效的；</w:t>
      </w:r>
    </w:p>
    <w:p w14:paraId="707508FA">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（四）已</w:t>
      </w:r>
      <w:r>
        <w:rPr>
          <w:rFonts w:hint="eastAsia" w:ascii="仿宋_GB2312" w:hAnsi="仿宋_GB2312" w:eastAsia="仿宋_GB2312" w:cs="仿宋_GB2312"/>
          <w:color w:val="auto"/>
          <w:kern w:val="0"/>
          <w:sz w:val="32"/>
          <w:szCs w:val="32"/>
          <w:lang w:val="en-US" w:eastAsia="zh-CN"/>
        </w:rPr>
        <w:t>在其他单位</w:t>
      </w:r>
      <w:r>
        <w:rPr>
          <w:rFonts w:hint="eastAsia" w:ascii="仿宋_GB2312" w:hAnsi="仿宋_GB2312" w:eastAsia="仿宋_GB2312" w:cs="仿宋_GB2312"/>
          <w:color w:val="auto"/>
          <w:kern w:val="0"/>
          <w:sz w:val="32"/>
          <w:szCs w:val="32"/>
        </w:rPr>
        <w:t>实现就业或创业的；</w:t>
      </w:r>
    </w:p>
    <w:p w14:paraId="7A040EC3">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（五）其他应当终止见习情形的：见习人员主动终止见习、见习期内终止且提前签订劳动合同、见习期满后离职、见习期满后签订劳动合同等。</w:t>
      </w:r>
    </w:p>
    <w:p w14:paraId="6B3612BF">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 xml:space="preserve">第二十八条  </w:t>
      </w:r>
      <w:r>
        <w:rPr>
          <w:rFonts w:hint="eastAsia" w:ascii="仿宋_GB2312" w:hAnsi="仿宋_GB2312" w:eastAsia="仿宋_GB2312" w:cs="仿宋_GB2312"/>
          <w:color w:val="auto"/>
          <w:kern w:val="2"/>
          <w:sz w:val="32"/>
          <w:szCs w:val="32"/>
        </w:rPr>
        <w:t>见习单位有下列情形之一的，见习人员可以向见习单位所在地人力资源社会保障部门举报投诉或提前解除见习协议：</w:t>
      </w:r>
    </w:p>
    <w:p w14:paraId="096F7054">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（一）未按时足额支付见习期间基本生活费的；</w:t>
      </w:r>
    </w:p>
    <w:p w14:paraId="3EBA1D76">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（二）以培训费、服装费等名义向见习人员收取费用的；</w:t>
      </w:r>
    </w:p>
    <w:p w14:paraId="44BFFFD5">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（三）未按照见习协议提供见习岗位或见习条件的；</w:t>
      </w:r>
    </w:p>
    <w:p w14:paraId="7AD1779E">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2"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（四）安排见习人员从事有毒有害或有安全隐患工作，危及见习人员人身安全的；</w:t>
      </w:r>
    </w:p>
    <w:p w14:paraId="0DE91513">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（五）其他侵害见习人员合法权益情形的。</w:t>
      </w:r>
    </w:p>
    <w:p w14:paraId="0B357BAA">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第二十九条  </w:t>
      </w:r>
      <w:r>
        <w:rPr>
          <w:rFonts w:hint="eastAsia" w:ascii="仿宋_GB2312" w:hAnsi="仿宋_GB2312" w:eastAsia="仿宋_GB2312" w:cs="仿宋_GB2312"/>
          <w:color w:val="auto"/>
          <w:sz w:val="32"/>
          <w:szCs w:val="32"/>
        </w:rPr>
        <w:t>人力资源社会保障</w:t>
      </w:r>
      <w:r>
        <w:rPr>
          <w:rFonts w:hint="eastAsia" w:ascii="仿宋_GB2312" w:hAnsi="仿宋_GB2312" w:eastAsia="仿宋_GB2312" w:cs="仿宋_GB2312"/>
          <w:color w:val="auto"/>
          <w:kern w:val="0"/>
          <w:sz w:val="32"/>
          <w:szCs w:val="32"/>
        </w:rPr>
        <w:t>部门</w:t>
      </w:r>
      <w:r>
        <w:rPr>
          <w:rFonts w:hint="eastAsia" w:ascii="仿宋_GB2312" w:hAnsi="仿宋_GB2312" w:eastAsia="仿宋_GB2312" w:cs="仿宋_GB2312"/>
          <w:color w:val="auto"/>
          <w:sz w:val="32"/>
          <w:szCs w:val="32"/>
        </w:rPr>
        <w:t>应加强对见习单位开展见习工作的日常管理、业务指导和监督检查，防止发生就业见习代替正常用工的行为。</w:t>
      </w:r>
    </w:p>
    <w:p w14:paraId="18D16203">
      <w:pPr>
        <w:keepNext w:val="0"/>
        <w:keepLines w:val="0"/>
        <w:pageBreakBefore w:val="0"/>
        <w:kinsoku/>
        <w:wordWrap/>
        <w:topLinePunct w:val="0"/>
        <w:autoSpaceDE/>
        <w:autoSpaceDN/>
        <w:bidi w:val="0"/>
        <w:adjustRightInd/>
        <w:snapToGrid/>
        <w:spacing w:line="560" w:lineRule="exact"/>
        <w:jc w:val="center"/>
        <w:rPr>
          <w:rFonts w:ascii="黑体" w:hAnsi="黑体" w:eastAsia="黑体" w:cs="黑体"/>
          <w:color w:val="auto"/>
          <w:kern w:val="0"/>
          <w:sz w:val="32"/>
          <w:szCs w:val="32"/>
        </w:rPr>
      </w:pPr>
    </w:p>
    <w:p w14:paraId="58A03C69">
      <w:pPr>
        <w:keepNext w:val="0"/>
        <w:keepLines w:val="0"/>
        <w:pageBreakBefore w:val="0"/>
        <w:kinsoku/>
        <w:wordWrap/>
        <w:topLinePunct w:val="0"/>
        <w:autoSpaceDE/>
        <w:autoSpaceDN/>
        <w:bidi w:val="0"/>
        <w:adjustRightInd/>
        <w:snapToGrid/>
        <w:spacing w:line="56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第六章 就业见习补贴管理</w:t>
      </w:r>
    </w:p>
    <w:p w14:paraId="243FEEAE">
      <w:pPr>
        <w:keepNext w:val="0"/>
        <w:keepLines w:val="0"/>
        <w:pageBreakBefore w:val="0"/>
        <w:kinsoku/>
        <w:wordWrap/>
        <w:overflowPunct/>
        <w:topLinePunct w:val="0"/>
        <w:autoSpaceDE/>
        <w:autoSpaceDN/>
        <w:bidi w:val="0"/>
        <w:adjustRightInd/>
        <w:snapToGrid/>
        <w:spacing w:line="560" w:lineRule="exact"/>
        <w:ind w:firstLine="632" w:firstLineChars="200"/>
        <w:rPr>
          <w:rFonts w:hint="eastAsia" w:ascii="黑体" w:hAnsi="黑体" w:eastAsia="黑体" w:cs="仿宋_GB2312"/>
          <w:color w:val="auto"/>
          <w:kern w:val="0"/>
          <w:sz w:val="32"/>
          <w:szCs w:val="32"/>
        </w:rPr>
      </w:pPr>
    </w:p>
    <w:p w14:paraId="58895D90">
      <w:pPr>
        <w:keepNext w:val="0"/>
        <w:keepLines w:val="0"/>
        <w:pageBreakBefore w:val="0"/>
        <w:kinsoku/>
        <w:wordWrap/>
        <w:overflowPunct/>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第三十条</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bCs/>
          <w:color w:val="auto"/>
          <w:sz w:val="32"/>
          <w:szCs w:val="32"/>
        </w:rPr>
        <w:t>对吸纳参加就业见习的单位，按当地最低工资标准的60%给予就业见习补贴，对年度内见习期满留用率达到50%及以上的单位，</w:t>
      </w:r>
      <w:r>
        <w:rPr>
          <w:rFonts w:hint="eastAsia" w:ascii="仿宋_GB2312" w:hAnsi="仿宋_GB2312" w:eastAsia="仿宋_GB2312" w:cs="仿宋_GB2312"/>
          <w:color w:val="auto"/>
          <w:kern w:val="0"/>
          <w:sz w:val="32"/>
          <w:szCs w:val="32"/>
        </w:rPr>
        <w:t>年度内所有完成见习人员的见习</w:t>
      </w:r>
      <w:r>
        <w:rPr>
          <w:rFonts w:hint="eastAsia" w:ascii="仿宋_GB2312" w:hAnsi="仿宋_GB2312" w:eastAsia="仿宋_GB2312" w:cs="仿宋_GB2312"/>
          <w:bCs/>
          <w:color w:val="auto"/>
          <w:sz w:val="32"/>
          <w:szCs w:val="32"/>
        </w:rPr>
        <w:t>补贴标准提高10个百分点（不含剩余期限见习补贴）</w:t>
      </w:r>
      <w:r>
        <w:rPr>
          <w:rFonts w:hint="eastAsia" w:ascii="仿宋_GB2312" w:hAnsi="仿宋_GB2312" w:eastAsia="仿宋_GB2312" w:cs="仿宋_GB2312"/>
          <w:color w:val="auto"/>
          <w:kern w:val="0"/>
          <w:sz w:val="32"/>
          <w:szCs w:val="32"/>
        </w:rPr>
        <w:t>。</w:t>
      </w:r>
    </w:p>
    <w:p w14:paraId="6584A9F3">
      <w:pPr>
        <w:keepNext w:val="0"/>
        <w:keepLines w:val="0"/>
        <w:pageBreakBefore w:val="0"/>
        <w:kinsoku/>
        <w:wordWrap/>
        <w:overflowPunct w:val="0"/>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留用率</w:t>
      </w:r>
      <w:r>
        <w:rPr>
          <w:rFonts w:hint="eastAsia" w:ascii="仿宋_GB2312" w:hAnsi="仿宋_GB2312" w:eastAsia="仿宋_GB2312" w:cs="仿宋_GB2312"/>
          <w:color w:val="auto"/>
          <w:kern w:val="0"/>
          <w:sz w:val="32"/>
          <w:szCs w:val="32"/>
          <w:lang w:val="en-US" w:eastAsia="zh-CN"/>
        </w:rPr>
        <w:t>计算：</w:t>
      </w:r>
      <w:r>
        <w:rPr>
          <w:rFonts w:hint="eastAsia" w:ascii="仿宋_GB2312" w:hAnsi="仿宋_GB2312" w:eastAsia="仿宋_GB2312" w:cs="仿宋_GB2312"/>
          <w:color w:val="auto"/>
          <w:kern w:val="0"/>
          <w:sz w:val="32"/>
          <w:szCs w:val="32"/>
        </w:rPr>
        <w:t>一个自然年度内与见习人员签订</w:t>
      </w:r>
      <w:r>
        <w:rPr>
          <w:rFonts w:hint="eastAsia" w:ascii="仿宋_GB2312" w:hAnsi="仿宋_GB2312" w:eastAsia="仿宋_GB2312" w:cs="仿宋_GB2312"/>
          <w:bCs/>
          <w:color w:val="auto"/>
          <w:sz w:val="32"/>
          <w:szCs w:val="32"/>
        </w:rPr>
        <w:t>1年以上期限</w:t>
      </w:r>
      <w:r>
        <w:rPr>
          <w:rFonts w:hint="eastAsia" w:ascii="仿宋_GB2312" w:hAnsi="仿宋_GB2312" w:eastAsia="仿宋_GB2312" w:cs="仿宋_GB2312"/>
          <w:color w:val="auto"/>
          <w:kern w:val="0"/>
          <w:sz w:val="32"/>
          <w:szCs w:val="32"/>
        </w:rPr>
        <w:t>劳动合同并按规定缴纳社会保险的人数占本年度完成见习人数的比例。</w:t>
      </w:r>
    </w:p>
    <w:p w14:paraId="7A32B1BF">
      <w:pPr>
        <w:keepNext w:val="0"/>
        <w:keepLines w:val="0"/>
        <w:pageBreakBefore w:val="0"/>
        <w:kinsoku/>
        <w:wordWrap/>
        <w:overflowPunct w:val="0"/>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完成见习人</w:t>
      </w:r>
      <w:r>
        <w:rPr>
          <w:rFonts w:hint="eastAsia" w:ascii="仿宋_GB2312" w:hAnsi="仿宋_GB2312" w:eastAsia="仿宋_GB2312" w:cs="仿宋_GB2312"/>
          <w:color w:val="auto"/>
          <w:kern w:val="0"/>
          <w:sz w:val="32"/>
          <w:szCs w:val="32"/>
          <w:lang w:val="en-US" w:eastAsia="zh-CN"/>
        </w:rPr>
        <w:t>数</w:t>
      </w:r>
      <w:r>
        <w:rPr>
          <w:rFonts w:hint="eastAsia" w:ascii="仿宋_GB2312" w:hAnsi="仿宋_GB2312" w:eastAsia="仿宋_GB2312" w:cs="仿宋_GB2312"/>
          <w:color w:val="auto"/>
          <w:kern w:val="0"/>
          <w:sz w:val="32"/>
          <w:szCs w:val="32"/>
        </w:rPr>
        <w:t>范围：按照见习协议的规定，如期完成就业见习的人数；以及见习期虽未满，但提前被见习单位留用的人数（见习期内，因见习人员个人原因等提前结束见习的人员数不算在内）。</w:t>
      </w:r>
    </w:p>
    <w:p w14:paraId="1A98B0EB">
      <w:pPr>
        <w:pStyle w:val="12"/>
        <w:keepNext w:val="0"/>
        <w:keepLines w:val="0"/>
        <w:pageBreakBefore w:val="0"/>
        <w:kinsoku/>
        <w:wordWrap/>
        <w:topLinePunct w:val="0"/>
        <w:autoSpaceDE/>
        <w:autoSpaceDN/>
        <w:bidi w:val="0"/>
        <w:adjustRightInd/>
        <w:snapToGrid/>
        <w:spacing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见习人员参加就业见习满3个月后，见习期未满，见习单位与其签订</w:t>
      </w:r>
      <w:r>
        <w:rPr>
          <w:rFonts w:hint="eastAsia" w:ascii="仿宋_GB2312" w:hAnsi="仿宋_GB2312" w:eastAsia="仿宋_GB2312" w:cs="仿宋_GB2312"/>
          <w:bCs/>
          <w:color w:val="auto"/>
          <w:sz w:val="32"/>
          <w:szCs w:val="32"/>
        </w:rPr>
        <w:t>1年以上期限</w:t>
      </w:r>
      <w:r>
        <w:rPr>
          <w:rFonts w:hint="eastAsia" w:ascii="仿宋_GB2312" w:hAnsi="仿宋_GB2312" w:eastAsia="仿宋_GB2312" w:cs="仿宋_GB2312"/>
          <w:color w:val="auto"/>
          <w:sz w:val="32"/>
          <w:szCs w:val="32"/>
        </w:rPr>
        <w:t>劳动合同的，办理见习终止业务后，一次性给予见习单位剩余期限见习补贴。剩余期限的见习补贴不得与高校毕业生社会保险补贴重复申领。政策执行至2025年12月31日。</w:t>
      </w:r>
    </w:p>
    <w:p w14:paraId="08704DBB">
      <w:pPr>
        <w:spacing w:line="560" w:lineRule="exact"/>
        <w:ind w:left="0" w:leftChars="0" w:firstLine="632" w:firstLineChars="200"/>
        <w:rPr>
          <w:rFonts w:ascii="仿宋_GB2312" w:hAnsi="仿宋_GB2312" w:eastAsia="仿宋_GB2312" w:cs="仿宋_GB2312"/>
          <w:color w:val="auto"/>
          <w:sz w:val="31"/>
          <w:szCs w:val="31"/>
          <w:shd w:val="clear" w:color="auto" w:fill="FFFFFF"/>
        </w:rPr>
      </w:pPr>
      <w:r>
        <w:rPr>
          <w:rFonts w:hint="eastAsia" w:ascii="黑体" w:hAnsi="黑体" w:eastAsia="黑体" w:cs="仿宋_GB2312"/>
          <w:color w:val="auto"/>
          <w:kern w:val="0"/>
          <w:sz w:val="32"/>
          <w:szCs w:val="32"/>
        </w:rPr>
        <w:t>第三十一条</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bCs/>
          <w:color w:val="auto"/>
          <w:sz w:val="32"/>
          <w:szCs w:val="32"/>
        </w:rPr>
        <w:t>就业见习补贴期限</w:t>
      </w:r>
      <w:r>
        <w:rPr>
          <w:rFonts w:hint="eastAsia" w:ascii="仿宋_GB2312" w:hAnsi="仿宋_GB2312" w:eastAsia="仿宋_GB2312" w:cs="仿宋_GB2312"/>
          <w:color w:val="auto"/>
          <w:kern w:val="0"/>
          <w:sz w:val="32"/>
          <w:szCs w:val="32"/>
        </w:rPr>
        <w:t>以见习人员实际在岗时间计算。当月</w:t>
      </w:r>
      <w:r>
        <w:rPr>
          <w:rFonts w:hint="eastAsia" w:ascii="仿宋_GB2312" w:hAnsi="Calibri" w:eastAsia="仿宋_GB2312" w:cs="仿宋_GB2312"/>
          <w:color w:val="auto"/>
          <w:sz w:val="32"/>
          <w:szCs w:val="32"/>
        </w:rPr>
        <w:t>见习时间不</w:t>
      </w:r>
      <w:r>
        <w:rPr>
          <w:rFonts w:hint="eastAsia" w:ascii="仿宋_GB2312" w:eastAsia="仿宋_GB2312" w:cs="仿宋_GB2312"/>
          <w:color w:val="auto"/>
          <w:sz w:val="32"/>
          <w:szCs w:val="32"/>
        </w:rPr>
        <w:t>满</w:t>
      </w:r>
      <w:r>
        <w:rPr>
          <w:rFonts w:hint="eastAsia" w:ascii="仿宋_GB2312" w:hAnsi="Calibri" w:eastAsia="仿宋_GB2312" w:cs="仿宋_GB2312"/>
          <w:color w:val="auto"/>
          <w:sz w:val="32"/>
          <w:szCs w:val="32"/>
        </w:rPr>
        <w:t>15天，</w:t>
      </w:r>
      <w:r>
        <w:rPr>
          <w:rFonts w:hint="eastAsia" w:ascii="仿宋_GB2312" w:eastAsia="仿宋_GB2312" w:cs="仿宋_GB2312"/>
          <w:color w:val="auto"/>
          <w:sz w:val="32"/>
          <w:szCs w:val="32"/>
        </w:rPr>
        <w:t>见习单位不可申报当月就业见习补贴，应当按照实际出勤天数发放基本生活费。</w:t>
      </w:r>
    </w:p>
    <w:p w14:paraId="6C5445FD">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highlight w:val="yellow"/>
        </w:rPr>
      </w:pPr>
      <w:r>
        <w:rPr>
          <w:rFonts w:hint="eastAsia" w:ascii="黑体" w:hAnsi="黑体" w:eastAsia="黑体" w:cs="仿宋_GB2312"/>
          <w:color w:val="auto"/>
          <w:kern w:val="0"/>
          <w:sz w:val="32"/>
          <w:szCs w:val="32"/>
        </w:rPr>
        <w:t>第三十二条</w:t>
      </w:r>
      <w:r>
        <w:rPr>
          <w:rFonts w:hint="eastAsia" w:ascii="仿宋_GB2312" w:hAnsi="仿宋_GB2312" w:eastAsia="仿宋_GB2312" w:cs="仿宋_GB2312"/>
          <w:color w:val="auto"/>
          <w:kern w:val="0"/>
          <w:sz w:val="32"/>
          <w:szCs w:val="32"/>
        </w:rPr>
        <w:t xml:space="preserve">  就业见习补贴采取“先支后补”的方式，见习单位可按月、按季度和期满结束后申请就业见习补贴。对上一年度见习留用率</w:t>
      </w:r>
      <w:r>
        <w:rPr>
          <w:rFonts w:hint="eastAsia" w:ascii="仿宋_GB2312" w:hAnsi="仿宋_GB2312" w:eastAsia="仿宋_GB2312" w:cs="仿宋_GB2312"/>
          <w:bCs/>
          <w:color w:val="auto"/>
          <w:sz w:val="32"/>
          <w:szCs w:val="32"/>
        </w:rPr>
        <w:t>达到50%及以上</w:t>
      </w:r>
      <w:r>
        <w:rPr>
          <w:rFonts w:hint="eastAsia" w:ascii="仿宋_GB2312" w:hAnsi="仿宋_GB2312" w:eastAsia="仿宋_GB2312" w:cs="仿宋_GB2312"/>
          <w:color w:val="auto"/>
          <w:kern w:val="0"/>
          <w:sz w:val="32"/>
          <w:szCs w:val="32"/>
        </w:rPr>
        <w:t>的单位，次年年初集中一次性发放差额补</w:t>
      </w:r>
      <w:r>
        <w:rPr>
          <w:rFonts w:ascii="仿宋_GB2312" w:hAnsi="仿宋_GB2312" w:eastAsia="仿宋_GB2312" w:cs="仿宋_GB2312"/>
          <w:color w:val="auto"/>
          <w:kern w:val="0"/>
          <w:sz w:val="32"/>
          <w:szCs w:val="32"/>
        </w:rPr>
        <w:t>贴。</w:t>
      </w:r>
    </w:p>
    <w:p w14:paraId="16C949DB">
      <w:pPr>
        <w:pStyle w:val="12"/>
        <w:overflowPunct w:val="0"/>
        <w:adjustRightInd/>
        <w:snapToGrid/>
        <w:spacing w:line="560" w:lineRule="exact"/>
        <w:ind w:left="0" w:leftChars="0" w:firstLine="632" w:firstLineChars="200"/>
        <w:rPr>
          <w:rFonts w:ascii="仿宋_GB2312" w:hAnsi="仿宋_GB2312" w:eastAsia="仿宋_GB2312" w:cs="仿宋_GB2312"/>
          <w:bCs/>
          <w:color w:val="auto"/>
          <w:sz w:val="32"/>
          <w:szCs w:val="32"/>
        </w:rPr>
      </w:pPr>
      <w:r>
        <w:rPr>
          <w:rFonts w:hint="eastAsia" w:ascii="黑体" w:hAnsi="黑体" w:eastAsia="黑体" w:cs="仿宋_GB2312"/>
          <w:bCs/>
          <w:color w:val="auto"/>
          <w:sz w:val="32"/>
          <w:szCs w:val="32"/>
        </w:rPr>
        <w:t>第三十三条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
        </w:rPr>
        <w:t xml:space="preserve"> </w:t>
      </w:r>
      <w:r>
        <w:rPr>
          <w:rFonts w:hint="eastAsia" w:ascii="仿宋_GB2312" w:hAnsi="仿宋_GB2312" w:eastAsia="仿宋_GB2312" w:cs="仿宋_GB2312"/>
          <w:color w:val="auto"/>
          <w:sz w:val="32"/>
          <w:szCs w:val="32"/>
        </w:rPr>
        <w:t>吸纳符合条件人员参加就业见习的单位向当地人力资源社会保障部门申请就业见习补贴，应提供以下材料：《山东省就业见习基本生活费花名册》（见附件5）、见习单位发放基本生活费的银行凭证、工伤保险缴纳凭证或见习单位为见习人员购买的意外伤害保险发票、保单复印件、《山东省就业见习鉴定表》《山东省就业见习终止证明》。</w:t>
      </w:r>
      <w:r>
        <w:rPr>
          <w:rFonts w:hint="eastAsia" w:ascii="仿宋_GB2312" w:hAnsi="仿宋_GB2312" w:eastAsia="仿宋_GB2312" w:cs="仿宋_GB2312"/>
          <w:color w:val="auto"/>
          <w:kern w:val="0"/>
          <w:sz w:val="32"/>
          <w:szCs w:val="32"/>
        </w:rPr>
        <w:t>对留用率</w:t>
      </w:r>
      <w:r>
        <w:rPr>
          <w:rFonts w:hint="eastAsia" w:ascii="仿宋_GB2312" w:hAnsi="仿宋_GB2312" w:eastAsia="仿宋_GB2312" w:cs="仿宋_GB2312"/>
          <w:bCs/>
          <w:color w:val="auto"/>
          <w:sz w:val="32"/>
          <w:szCs w:val="32"/>
        </w:rPr>
        <w:t>达到50%及以上</w:t>
      </w:r>
      <w:r>
        <w:rPr>
          <w:rFonts w:hint="eastAsia" w:ascii="仿宋_GB2312" w:hAnsi="仿宋_GB2312" w:eastAsia="仿宋_GB2312" w:cs="仿宋_GB2312"/>
          <w:color w:val="auto"/>
          <w:kern w:val="0"/>
          <w:sz w:val="32"/>
          <w:szCs w:val="32"/>
        </w:rPr>
        <w:t>的单位，申领差额补</w:t>
      </w:r>
      <w:r>
        <w:rPr>
          <w:rFonts w:ascii="仿宋_GB2312" w:hAnsi="仿宋_GB2312" w:eastAsia="仿宋_GB2312" w:cs="仿宋_GB2312"/>
          <w:color w:val="auto"/>
          <w:kern w:val="0"/>
          <w:sz w:val="32"/>
          <w:szCs w:val="32"/>
        </w:rPr>
        <w:t>贴</w:t>
      </w:r>
      <w:r>
        <w:rPr>
          <w:rFonts w:hint="eastAsia" w:ascii="仿宋_GB2312" w:hAnsi="仿宋_GB2312" w:eastAsia="仿宋_GB2312" w:cs="仿宋_GB2312"/>
          <w:color w:val="auto"/>
          <w:kern w:val="0"/>
          <w:sz w:val="32"/>
          <w:szCs w:val="32"/>
        </w:rPr>
        <w:t>，无需提供材料</w:t>
      </w:r>
      <w:r>
        <w:rPr>
          <w:rFonts w:ascii="仿宋_GB2312" w:hAnsi="仿宋_GB2312" w:eastAsia="仿宋_GB2312" w:cs="仿宋_GB2312"/>
          <w:color w:val="auto"/>
          <w:kern w:val="0"/>
          <w:sz w:val="32"/>
          <w:szCs w:val="32"/>
        </w:rPr>
        <w:t>。</w:t>
      </w:r>
    </w:p>
    <w:p w14:paraId="5E437CF2">
      <w:pPr>
        <w:pStyle w:val="12"/>
        <w:keepNext w:val="0"/>
        <w:keepLines w:val="0"/>
        <w:pageBreakBefore w:val="0"/>
        <w:kinsoku/>
        <w:wordWrap/>
        <w:topLinePunct w:val="0"/>
        <w:autoSpaceDE/>
        <w:autoSpaceDN/>
        <w:bidi w:val="0"/>
        <w:adjustRightInd/>
        <w:snapToGrid/>
        <w:spacing w:line="560" w:lineRule="exact"/>
        <w:ind w:left="0" w:leftChars="0" w:firstLine="640"/>
        <w:rPr>
          <w:rFonts w:ascii="仿宋_GB2312" w:hAnsi="仿宋_GB2312" w:eastAsia="仿宋_GB2312" w:cs="仿宋_GB2312"/>
          <w:bCs/>
          <w:color w:val="auto"/>
          <w:sz w:val="32"/>
          <w:szCs w:val="32"/>
        </w:rPr>
      </w:pPr>
      <w:r>
        <w:rPr>
          <w:rFonts w:hint="eastAsia" w:ascii="黑体" w:hAnsi="黑体" w:eastAsia="黑体" w:cs="仿宋_GB2312"/>
          <w:color w:val="auto"/>
          <w:sz w:val="32"/>
          <w:szCs w:val="32"/>
        </w:rPr>
        <w:t>第三十四条</w:t>
      </w:r>
      <w:r>
        <w:rPr>
          <w:rFonts w:hint="eastAsia" w:ascii="仿宋_GB2312" w:hAnsi="仿宋_GB2312" w:eastAsia="仿宋_GB2312" w:cs="仿宋_GB2312"/>
          <w:color w:val="auto"/>
          <w:sz w:val="32"/>
          <w:szCs w:val="32"/>
        </w:rPr>
        <w:t xml:space="preserve">  人力资源社会保障部门</w:t>
      </w:r>
      <w:r>
        <w:rPr>
          <w:rFonts w:hint="eastAsia" w:ascii="仿宋_GB2312" w:hAnsi="仿宋_GB2312" w:eastAsia="仿宋_GB2312" w:cs="仿宋_GB2312"/>
          <w:bCs/>
          <w:color w:val="auto"/>
          <w:sz w:val="32"/>
          <w:szCs w:val="32"/>
        </w:rPr>
        <w:t>负责</w:t>
      </w:r>
      <w:r>
        <w:rPr>
          <w:rFonts w:hint="eastAsia" w:ascii="仿宋_GB2312" w:hAnsi="仿宋_GB2312" w:eastAsia="仿宋_GB2312" w:cs="仿宋_GB2312"/>
          <w:color w:val="auto"/>
          <w:sz w:val="32"/>
          <w:szCs w:val="32"/>
        </w:rPr>
        <w:t>核验见习人员个人身份信息和</w:t>
      </w:r>
      <w:r>
        <w:rPr>
          <w:rFonts w:hint="eastAsia" w:ascii="仿宋_GB2312" w:hAnsi="仿宋_GB2312" w:eastAsia="仿宋_GB2312" w:cs="仿宋_GB2312"/>
          <w:bCs/>
          <w:color w:val="auto"/>
          <w:sz w:val="32"/>
          <w:szCs w:val="32"/>
        </w:rPr>
        <w:t>各项补贴申请材料，经审核通过并按规定</w:t>
      </w:r>
      <w:r>
        <w:rPr>
          <w:rFonts w:hint="eastAsia" w:ascii="仿宋_GB2312" w:hAnsi="仿宋_GB2312" w:eastAsia="仿宋_GB2312" w:cs="仿宋_GB2312"/>
          <w:color w:val="auto"/>
          <w:kern w:val="0"/>
          <w:sz w:val="32"/>
          <w:szCs w:val="32"/>
        </w:rPr>
        <w:t>报当地财政部门后，拨付</w:t>
      </w:r>
      <w:r>
        <w:rPr>
          <w:rFonts w:hint="eastAsia" w:ascii="仿宋_GB2312" w:hAnsi="仿宋_GB2312" w:eastAsia="仿宋_GB2312" w:cs="仿宋_GB2312"/>
          <w:bCs/>
          <w:color w:val="auto"/>
          <w:sz w:val="32"/>
          <w:szCs w:val="32"/>
        </w:rPr>
        <w:t>到见习单位在银行开立的对公账户。</w:t>
      </w:r>
    </w:p>
    <w:p w14:paraId="14C579FE">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第三十五条</w:t>
      </w:r>
      <w:r>
        <w:rPr>
          <w:rFonts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rPr>
        <w:t>就业见习补贴用于见习单位支付见习人员见习期间基本生活费、为见习人员缴纳工伤保险或办理人身意外伤害保险，以及对见习人员的指导管理费用，不得挪作他用。</w:t>
      </w:r>
    </w:p>
    <w:p w14:paraId="0E4B0E44">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 xml:space="preserve">第三十六条 </w:t>
      </w:r>
      <w:r>
        <w:rPr>
          <w:rFonts w:ascii="黑体" w:hAnsi="黑体" w:eastAsia="黑体" w:cs="仿宋_GB2312"/>
          <w:color w:val="auto"/>
          <w:kern w:val="0"/>
          <w:sz w:val="32"/>
          <w:szCs w:val="32"/>
        </w:rPr>
        <w:t xml:space="preserve"> </w:t>
      </w:r>
      <w:r>
        <w:rPr>
          <w:rFonts w:hint="eastAsia" w:ascii="仿宋_GB2312" w:hAnsi="仿宋_GB2312" w:eastAsia="仿宋_GB2312" w:cs="仿宋_GB2312"/>
          <w:color w:val="auto"/>
          <w:kern w:val="0"/>
          <w:sz w:val="32"/>
          <w:szCs w:val="32"/>
        </w:rPr>
        <w:t>按照就业补助资金管理办法及相关规定，就业见习补贴所需资金由就业补助资金列支。</w:t>
      </w:r>
    </w:p>
    <w:p w14:paraId="112C0B5E">
      <w:pPr>
        <w:keepNext w:val="0"/>
        <w:keepLines w:val="0"/>
        <w:pageBreakBefore w:val="0"/>
        <w:kinsoku/>
        <w:wordWrap/>
        <w:topLinePunct w:val="0"/>
        <w:autoSpaceDE/>
        <w:autoSpaceDN/>
        <w:bidi w:val="0"/>
        <w:adjustRightInd/>
        <w:snapToGrid/>
        <w:spacing w:line="560" w:lineRule="exact"/>
        <w:jc w:val="center"/>
        <w:rPr>
          <w:rFonts w:ascii="方正小标宋简体" w:hAnsi="仿宋_GB2312" w:eastAsia="方正小标宋简体" w:cs="仿宋_GB2312"/>
          <w:color w:val="auto"/>
          <w:kern w:val="0"/>
          <w:sz w:val="32"/>
          <w:szCs w:val="32"/>
        </w:rPr>
      </w:pPr>
    </w:p>
    <w:p w14:paraId="47EB4E54">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jc w:val="center"/>
        <w:rPr>
          <w:rFonts w:ascii="黑体" w:hAnsi="宋体" w:eastAsia="黑体" w:cs="黑体"/>
          <w:color w:val="auto"/>
          <w:sz w:val="31"/>
          <w:szCs w:val="31"/>
          <w:shd w:val="clear" w:color="auto" w:fill="FFFFFF"/>
        </w:rPr>
      </w:pPr>
      <w:r>
        <w:rPr>
          <w:rFonts w:hint="eastAsia" w:ascii="黑体" w:hAnsi="黑体" w:eastAsia="黑体" w:cs="黑体"/>
          <w:color w:val="auto"/>
          <w:sz w:val="32"/>
          <w:szCs w:val="32"/>
        </w:rPr>
        <w:t>第七章</w:t>
      </w:r>
      <w:r>
        <w:rPr>
          <w:rFonts w:ascii="黑体" w:hAnsi="黑体" w:eastAsia="黑体" w:cs="黑体"/>
          <w:color w:val="auto"/>
          <w:sz w:val="32"/>
          <w:szCs w:val="32"/>
        </w:rPr>
        <w:t xml:space="preserve">  </w:t>
      </w:r>
      <w:r>
        <w:rPr>
          <w:rFonts w:hint="eastAsia" w:ascii="黑体" w:hAnsi="宋体" w:eastAsia="黑体" w:cs="黑体"/>
          <w:color w:val="auto"/>
          <w:sz w:val="31"/>
          <w:szCs w:val="31"/>
          <w:shd w:val="clear" w:color="auto" w:fill="FFFFFF"/>
        </w:rPr>
        <w:t>监督与管理</w:t>
      </w:r>
    </w:p>
    <w:p w14:paraId="274E19BC">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0"/>
        <w:rPr>
          <w:rFonts w:hint="eastAsia" w:ascii="黑体" w:hAnsi="黑体" w:eastAsia="黑体" w:cs="黑体"/>
          <w:color w:val="auto"/>
          <w:kern w:val="2"/>
          <w:sz w:val="32"/>
          <w:szCs w:val="32"/>
        </w:rPr>
      </w:pPr>
    </w:p>
    <w:p w14:paraId="4C6674D6">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0"/>
        <w:rPr>
          <w:rFonts w:ascii="黑体" w:hAnsi="黑体" w:eastAsia="黑体" w:cs="黑体"/>
          <w:color w:val="auto"/>
          <w:kern w:val="2"/>
          <w:sz w:val="32"/>
          <w:szCs w:val="32"/>
        </w:rPr>
      </w:pPr>
      <w:r>
        <w:rPr>
          <w:rFonts w:hint="eastAsia" w:ascii="黑体" w:hAnsi="黑体" w:eastAsia="黑体" w:cs="黑体"/>
          <w:color w:val="auto"/>
          <w:kern w:val="2"/>
          <w:sz w:val="32"/>
          <w:szCs w:val="32"/>
        </w:rPr>
        <w:t xml:space="preserve">第三十七条  </w:t>
      </w:r>
      <w:bookmarkStart w:id="0" w:name="_Hlk164025844"/>
      <w:r>
        <w:rPr>
          <w:rFonts w:hint="eastAsia" w:ascii="仿宋_GB2312" w:hAnsi="仿宋_GB2312" w:eastAsia="仿宋_GB2312" w:cs="仿宋_GB2312"/>
          <w:color w:val="auto"/>
          <w:sz w:val="31"/>
          <w:szCs w:val="31"/>
          <w:shd w:val="clear" w:color="auto" w:fill="FFFFFF"/>
        </w:rPr>
        <w:t>各设区的市人力资源社会保障部门</w:t>
      </w:r>
      <w:bookmarkEnd w:id="0"/>
      <w:r>
        <w:rPr>
          <w:rFonts w:hint="eastAsia" w:ascii="仿宋_GB2312" w:hAnsi="仿宋_GB2312" w:eastAsia="仿宋_GB2312" w:cs="仿宋_GB2312"/>
          <w:color w:val="auto"/>
          <w:sz w:val="31"/>
          <w:szCs w:val="31"/>
          <w:shd w:val="clear" w:color="auto" w:fill="FFFFFF"/>
        </w:rPr>
        <w:t>要定期检查县（市、区）就业见习工作的组织实施、岗位募集、制度执行、政策落实和见习实效等情况</w:t>
      </w:r>
      <w:r>
        <w:rPr>
          <w:rFonts w:hint="eastAsia" w:ascii="仿宋_GB2312" w:hAnsi="仿宋_GB2312" w:eastAsia="仿宋_GB2312" w:cs="仿宋_GB2312"/>
          <w:color w:val="auto"/>
          <w:sz w:val="31"/>
          <w:szCs w:val="31"/>
          <w:shd w:val="clear" w:color="auto" w:fill="FFFFFF"/>
          <w:lang w:eastAsia="zh-CN"/>
        </w:rPr>
        <w:t>。</w:t>
      </w:r>
      <w:r>
        <w:rPr>
          <w:rFonts w:hint="eastAsia" w:ascii="仿宋_GB2312" w:hAnsi="仿宋_GB2312" w:eastAsia="仿宋_GB2312" w:cs="仿宋_GB2312"/>
          <w:color w:val="auto"/>
          <w:sz w:val="31"/>
          <w:szCs w:val="31"/>
          <w:shd w:val="clear" w:color="auto" w:fill="FFFFFF"/>
        </w:rPr>
        <w:t>加强对见习单位的管理，监督指导见习单位规章制度建设、见习计划执行、人员权益保障、留用见习人员就业等工作的落实。</w:t>
      </w:r>
    </w:p>
    <w:p w14:paraId="67F3848D">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30"/>
        <w:rPr>
          <w:rFonts w:ascii="仿宋_GB2312" w:hAnsi="仿宋_GB2312" w:eastAsia="仿宋_GB2312" w:cs="仿宋_GB2312"/>
          <w:color w:val="auto"/>
          <w:sz w:val="31"/>
          <w:szCs w:val="31"/>
          <w:shd w:val="clear" w:color="auto" w:fill="FFFFFF"/>
        </w:rPr>
      </w:pPr>
      <w:r>
        <w:rPr>
          <w:rFonts w:hint="eastAsia" w:ascii="黑体" w:hAnsi="黑体" w:eastAsia="黑体" w:cs="黑体"/>
          <w:color w:val="auto"/>
          <w:kern w:val="2"/>
          <w:sz w:val="32"/>
          <w:szCs w:val="32"/>
        </w:rPr>
        <w:t xml:space="preserve">第三十八条  </w:t>
      </w:r>
      <w:r>
        <w:rPr>
          <w:rFonts w:hint="eastAsia" w:ascii="仿宋_GB2312" w:hAnsi="仿宋_GB2312" w:eastAsia="仿宋_GB2312" w:cs="仿宋_GB2312"/>
          <w:color w:val="auto"/>
          <w:sz w:val="31"/>
          <w:szCs w:val="31"/>
          <w:shd w:val="clear" w:color="auto" w:fill="FFFFFF"/>
        </w:rPr>
        <w:t>加强资金管理。各设区的市人力资源社会保障部门要建立就业见习补贴资金发放的内控工作机制，严格按照有关规定审核和拨付，确保专款专用、安全运行。加强部门间信息对比，对见习单位提交的资料严格核实，防范骗取、挪用、虚报、冒领资金等行为。通过上门调查、资金抽查、第三方核查等方式，常态化开展就业见习检查工作。对虚报、谎报见习人数和见习时间，骗取、套取就业见习补贴资金等违法违纪行为，一经查实，取消见习单位资格，追回骗取、套取的资金并按规定对直接负责人员和相关责任人员依纪给予处分；构成犯罪的，依法追究刑事责任。</w:t>
      </w:r>
    </w:p>
    <w:p w14:paraId="0FE87A7E">
      <w:pPr>
        <w:keepNext w:val="0"/>
        <w:keepLines w:val="0"/>
        <w:pageBreakBefore w:val="0"/>
        <w:kinsoku/>
        <w:wordWrap/>
        <w:topLinePunct w:val="0"/>
        <w:autoSpaceDE/>
        <w:autoSpaceDN/>
        <w:bidi w:val="0"/>
        <w:adjustRightInd/>
        <w:snapToGrid/>
        <w:spacing w:line="560" w:lineRule="exact"/>
        <w:ind w:firstLine="632"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第三十九条  </w:t>
      </w:r>
      <w:r>
        <w:rPr>
          <w:rFonts w:hint="eastAsia" w:ascii="仿宋_GB2312" w:hAnsi="仿宋_GB2312" w:eastAsia="仿宋_GB2312" w:cs="仿宋_GB2312"/>
          <w:color w:val="auto"/>
          <w:kern w:val="0"/>
          <w:sz w:val="32"/>
          <w:szCs w:val="32"/>
        </w:rPr>
        <w:t>见习单位地址发生变化的，已签订就业见习协议的剩余见习补贴由原批准单位发放。</w:t>
      </w:r>
    </w:p>
    <w:p w14:paraId="2D00CDE9">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第四十条  </w:t>
      </w:r>
      <w:r>
        <w:rPr>
          <w:rFonts w:hint="eastAsia" w:ascii="仿宋_GB2312" w:hAnsi="仿宋_GB2312" w:eastAsia="仿宋_GB2312" w:cs="仿宋_GB2312"/>
          <w:color w:val="auto"/>
          <w:sz w:val="31"/>
          <w:szCs w:val="31"/>
          <w:shd w:val="clear" w:color="auto" w:fill="FFFFFF"/>
        </w:rPr>
        <w:t>各级人力资源社会保障部门</w:t>
      </w:r>
      <w:r>
        <w:rPr>
          <w:rFonts w:hint="eastAsia" w:ascii="仿宋_GB2312" w:hAnsi="仿宋_GB2312" w:eastAsia="仿宋_GB2312" w:cs="仿宋_GB2312"/>
          <w:color w:val="auto"/>
          <w:kern w:val="0"/>
          <w:sz w:val="31"/>
          <w:szCs w:val="31"/>
          <w:shd w:val="clear" w:color="auto" w:fill="FFFFFF"/>
          <w:lang w:bidi="ar"/>
        </w:rPr>
        <w:t>要充分运用传统媒体和新兴媒体，大力宣传见习政策、申请渠道，扩大见习知晓度，精心选取一批示范性的高质量见习岗位，集中打包推送，增强见习吸引力。</w:t>
      </w:r>
      <w:r>
        <w:rPr>
          <w:rFonts w:hint="eastAsia" w:ascii="仿宋_GB2312" w:hAnsi="仿宋_GB2312" w:eastAsia="仿宋_GB2312" w:cs="仿宋_GB2312"/>
          <w:color w:val="auto"/>
          <w:sz w:val="32"/>
          <w:szCs w:val="32"/>
        </w:rPr>
        <w:t>大力宣传一批通过见习实现就业创业的青年和履行社会责任成效突出的见习单位，引领更多青年和用人单位主动参与就业见习活动。</w:t>
      </w:r>
    </w:p>
    <w:p w14:paraId="0818A5F2">
      <w:pPr>
        <w:keepNext w:val="0"/>
        <w:keepLines w:val="0"/>
        <w:pageBreakBefore w:val="0"/>
        <w:kinsoku/>
        <w:wordWrap/>
        <w:topLinePunct w:val="0"/>
        <w:autoSpaceDE/>
        <w:autoSpaceDN/>
        <w:bidi w:val="0"/>
        <w:adjustRightInd/>
        <w:snapToGrid/>
        <w:spacing w:line="560" w:lineRule="exact"/>
        <w:ind w:firstLine="612" w:firstLineChars="200"/>
        <w:rPr>
          <w:rFonts w:ascii="仿宋_GB2312" w:hAnsi="仿宋_GB2312" w:eastAsia="仿宋_GB2312" w:cs="仿宋_GB2312"/>
          <w:color w:val="auto"/>
          <w:sz w:val="31"/>
          <w:szCs w:val="31"/>
          <w:shd w:val="clear" w:color="auto" w:fill="FFFFFF"/>
        </w:rPr>
      </w:pPr>
    </w:p>
    <w:p w14:paraId="10D29A88">
      <w:pPr>
        <w:keepNext w:val="0"/>
        <w:keepLines w:val="0"/>
        <w:pageBreakBefore w:val="0"/>
        <w:kinsoku/>
        <w:wordWrap/>
        <w:topLinePunct w:val="0"/>
        <w:autoSpaceDE/>
        <w:autoSpaceDN/>
        <w:bidi w:val="0"/>
        <w:adjustRightInd/>
        <w:snapToGrid/>
        <w:spacing w:line="56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第八章  附  则</w:t>
      </w:r>
    </w:p>
    <w:p w14:paraId="0401DB16">
      <w:pPr>
        <w:keepNext w:val="0"/>
        <w:keepLines w:val="0"/>
        <w:pageBreakBefore w:val="0"/>
        <w:kinsoku/>
        <w:wordWrap/>
        <w:topLinePunct w:val="0"/>
        <w:autoSpaceDE/>
        <w:autoSpaceDN/>
        <w:bidi w:val="0"/>
        <w:adjustRightInd/>
        <w:snapToGrid/>
        <w:spacing w:line="560" w:lineRule="exact"/>
        <w:ind w:firstLine="632" w:firstLineChars="200"/>
        <w:rPr>
          <w:rFonts w:hint="eastAsia" w:ascii="黑体" w:hAnsi="黑体" w:eastAsia="黑体" w:cs="仿宋_GB2312"/>
          <w:color w:val="auto"/>
          <w:sz w:val="32"/>
          <w:szCs w:val="32"/>
        </w:rPr>
      </w:pPr>
    </w:p>
    <w:p w14:paraId="6E016107">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 xml:space="preserve">第四十一条  </w:t>
      </w:r>
      <w:r>
        <w:rPr>
          <w:rFonts w:hint="eastAsia" w:ascii="仿宋_GB2312" w:hAnsi="仿宋_GB2312" w:eastAsia="仿宋_GB2312" w:cs="仿宋_GB2312"/>
          <w:color w:val="auto"/>
          <w:sz w:val="32"/>
          <w:szCs w:val="32"/>
        </w:rPr>
        <w:t>各级人力资源社会保障部门、财政部门可结合实际，制定本级就业见习</w:t>
      </w:r>
      <w:r>
        <w:rPr>
          <w:rFonts w:hint="eastAsia" w:ascii="仿宋_GB2312" w:hAnsi="仿宋_GB2312" w:eastAsia="仿宋_GB2312" w:cs="仿宋_GB2312"/>
          <w:color w:val="auto"/>
          <w:sz w:val="32"/>
          <w:szCs w:val="32"/>
          <w:lang w:val="en-US" w:eastAsia="zh-CN"/>
        </w:rPr>
        <w:t>工作实施</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w:t>
      </w:r>
    </w:p>
    <w:p w14:paraId="4D123EBB">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kern w:val="0"/>
          <w:sz w:val="32"/>
          <w:szCs w:val="32"/>
        </w:rPr>
      </w:pPr>
      <w:r>
        <w:rPr>
          <w:rFonts w:hint="eastAsia" w:ascii="黑体" w:hAnsi="黑体" w:eastAsia="黑体" w:cs="仿宋_GB2312"/>
          <w:color w:val="auto"/>
          <w:kern w:val="0"/>
          <w:sz w:val="32"/>
          <w:szCs w:val="32"/>
        </w:rPr>
        <w:t>第四十二条</w:t>
      </w:r>
      <w:r>
        <w:rPr>
          <w:rFonts w:hint="eastAsia" w:ascii="仿宋_GB2312" w:hAnsi="仿宋_GB2312" w:eastAsia="仿宋_GB2312" w:cs="仿宋_GB2312"/>
          <w:color w:val="auto"/>
          <w:kern w:val="0"/>
          <w:sz w:val="32"/>
          <w:szCs w:val="32"/>
        </w:rPr>
        <w:t xml:space="preserve">  本</w:t>
      </w:r>
      <w:r>
        <w:rPr>
          <w:rFonts w:hint="eastAsia" w:ascii="仿宋_GB2312" w:hAnsi="仿宋_GB2312" w:eastAsia="仿宋_GB2312" w:cs="仿宋_GB2312"/>
          <w:color w:val="auto"/>
          <w:kern w:val="0"/>
          <w:sz w:val="32"/>
          <w:szCs w:val="32"/>
          <w:lang w:eastAsia="zh-CN"/>
        </w:rPr>
        <w:t>细则</w:t>
      </w:r>
      <w:r>
        <w:rPr>
          <w:rFonts w:hint="eastAsia" w:ascii="仿宋_GB2312" w:hAnsi="仿宋_GB2312" w:eastAsia="仿宋_GB2312" w:cs="仿宋_GB2312"/>
          <w:color w:val="auto"/>
          <w:kern w:val="0"/>
          <w:sz w:val="32"/>
          <w:szCs w:val="32"/>
        </w:rPr>
        <w:t>由省人力资源社会保障厅、省财政厅负责解释。</w:t>
      </w:r>
    </w:p>
    <w:p w14:paraId="0C740410">
      <w:pPr>
        <w:keepNext w:val="0"/>
        <w:keepLines w:val="0"/>
        <w:pageBreakBefore w:val="0"/>
        <w:kinsoku/>
        <w:wordWrap/>
        <w:topLinePunct w:val="0"/>
        <w:autoSpaceDE/>
        <w:autoSpaceDN/>
        <w:bidi w:val="0"/>
        <w:adjustRightInd/>
        <w:snapToGrid/>
        <w:spacing w:line="560" w:lineRule="exact"/>
        <w:ind w:firstLine="632" w:firstLineChars="200"/>
        <w:rPr>
          <w:rFonts w:ascii="仿宋_GB2312" w:hAnsi="仿宋_GB2312" w:eastAsia="仿宋_GB2312" w:cs="仿宋_GB2312"/>
          <w:color w:val="auto"/>
          <w:sz w:val="32"/>
          <w:szCs w:val="32"/>
        </w:rPr>
      </w:pPr>
      <w:r>
        <w:rPr>
          <w:rFonts w:hint="eastAsia" w:ascii="黑体" w:hAnsi="黑体" w:eastAsia="黑体" w:cs="仿宋_GB2312"/>
          <w:color w:val="auto"/>
          <w:kern w:val="0"/>
          <w:sz w:val="32"/>
          <w:szCs w:val="32"/>
        </w:rPr>
        <w:t>第四十三条</w:t>
      </w:r>
      <w:r>
        <w:rPr>
          <w:rFonts w:hint="eastAsia" w:ascii="仿宋_GB2312" w:hAnsi="仿宋_GB2312" w:eastAsia="仿宋_GB2312" w:cs="仿宋_GB2312"/>
          <w:color w:val="auto"/>
          <w:kern w:val="0"/>
          <w:sz w:val="32"/>
          <w:szCs w:val="32"/>
        </w:rPr>
        <w:t xml:space="preserve">  本</w:t>
      </w:r>
      <w:r>
        <w:rPr>
          <w:rFonts w:hint="eastAsia" w:ascii="仿宋_GB2312" w:hAnsi="仿宋_GB2312" w:eastAsia="仿宋_GB2312" w:cs="仿宋_GB2312"/>
          <w:color w:val="auto"/>
          <w:kern w:val="0"/>
          <w:sz w:val="32"/>
          <w:szCs w:val="32"/>
          <w:lang w:eastAsia="zh-CN"/>
        </w:rPr>
        <w:t>细则</w:t>
      </w:r>
      <w:r>
        <w:rPr>
          <w:rFonts w:hint="eastAsia" w:ascii="仿宋_GB2312" w:hAnsi="仿宋_GB2312" w:eastAsia="仿宋_GB2312" w:cs="仿宋_GB2312"/>
          <w:color w:val="auto"/>
          <w:kern w:val="0"/>
          <w:sz w:val="32"/>
          <w:szCs w:val="32"/>
        </w:rPr>
        <w:t>自</w:t>
      </w:r>
      <w:r>
        <w:rPr>
          <w:rFonts w:hint="eastAsia" w:ascii="仿宋_GB2312" w:hAnsi="仿宋_GB2312" w:eastAsia="仿宋_GB2312" w:cs="仿宋_GB2312"/>
          <w:color w:val="auto"/>
          <w:kern w:val="0"/>
          <w:sz w:val="32"/>
          <w:szCs w:val="32"/>
          <w:lang w:val="en-US" w:eastAsia="zh-CN"/>
        </w:rPr>
        <w:t>公布</w:t>
      </w:r>
      <w:r>
        <w:rPr>
          <w:rFonts w:hint="eastAsia" w:ascii="仿宋_GB2312" w:hAnsi="仿宋_GB2312" w:eastAsia="仿宋_GB2312" w:cs="仿宋_GB2312"/>
          <w:color w:val="auto"/>
          <w:kern w:val="0"/>
          <w:sz w:val="32"/>
          <w:szCs w:val="32"/>
        </w:rPr>
        <w:t>之日起</w:t>
      </w:r>
      <w:r>
        <w:rPr>
          <w:rFonts w:hint="eastAsia" w:ascii="仿宋_GB2312" w:hAnsi="仿宋_GB2312" w:eastAsia="仿宋_GB2312" w:cs="仿宋_GB2312"/>
          <w:color w:val="auto"/>
          <w:kern w:val="0"/>
          <w:sz w:val="32"/>
          <w:szCs w:val="32"/>
          <w:lang w:val="en-US" w:eastAsia="zh-CN"/>
        </w:rPr>
        <w:t>实施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与本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规定不一致的，按本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执行，期间如遇国家、省见习政策调整，按新规定执行。</w:t>
      </w:r>
    </w:p>
    <w:p w14:paraId="48B2A959">
      <w:pPr>
        <w:pStyle w:val="12"/>
        <w:keepNext w:val="0"/>
        <w:keepLines w:val="0"/>
        <w:pageBreakBefore w:val="0"/>
        <w:kinsoku/>
        <w:wordWrap/>
        <w:topLinePunct w:val="0"/>
        <w:autoSpaceDE/>
        <w:autoSpaceDN/>
        <w:bidi w:val="0"/>
        <w:adjustRightInd/>
        <w:snapToGrid/>
        <w:spacing w:line="560" w:lineRule="exact"/>
        <w:rPr>
          <w:color w:val="auto"/>
        </w:rPr>
      </w:pPr>
    </w:p>
    <w:p w14:paraId="5B26DF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附件：1.就业见习协议书(参考样式)</w:t>
      </w:r>
    </w:p>
    <w:p w14:paraId="1325819E">
      <w:pPr>
        <w:keepNext w:val="0"/>
        <w:keepLines w:val="0"/>
        <w:pageBreakBefore w:val="0"/>
        <w:kinsoku/>
        <w:wordWrap/>
        <w:topLinePunct w:val="0"/>
        <w:autoSpaceDE/>
        <w:autoSpaceDN/>
        <w:bidi w:val="0"/>
        <w:adjustRightInd/>
        <w:snapToGrid/>
        <w:spacing w:line="560" w:lineRule="exact"/>
        <w:ind w:firstLine="1580" w:firstLineChars="50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.山东省就业见习鉴定表</w:t>
      </w:r>
    </w:p>
    <w:p w14:paraId="02858E3A">
      <w:pPr>
        <w:keepNext w:val="0"/>
        <w:keepLines w:val="0"/>
        <w:pageBreakBefore w:val="0"/>
        <w:kinsoku/>
        <w:wordWrap/>
        <w:topLinePunct w:val="0"/>
        <w:autoSpaceDE/>
        <w:autoSpaceDN/>
        <w:bidi w:val="0"/>
        <w:adjustRightInd/>
        <w:snapToGrid/>
        <w:spacing w:line="560" w:lineRule="exact"/>
        <w:ind w:firstLine="158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3.山东省见习单位申报表</w:t>
      </w:r>
    </w:p>
    <w:p w14:paraId="10FFB2CC">
      <w:pPr>
        <w:keepNext w:val="0"/>
        <w:keepLines w:val="0"/>
        <w:pageBreakBefore w:val="0"/>
        <w:kinsoku/>
        <w:wordWrap/>
        <w:topLinePunct w:val="0"/>
        <w:autoSpaceDE/>
        <w:autoSpaceDN/>
        <w:bidi w:val="0"/>
        <w:adjustRightInd/>
        <w:snapToGrid/>
        <w:spacing w:line="560" w:lineRule="exact"/>
        <w:ind w:firstLine="1580" w:firstLineChars="5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4.山东省就业见习终止证明</w:t>
      </w:r>
    </w:p>
    <w:p w14:paraId="3A46F5C3">
      <w:pPr>
        <w:keepNext w:val="0"/>
        <w:keepLines w:val="0"/>
        <w:pageBreakBefore w:val="0"/>
        <w:kinsoku/>
        <w:wordWrap/>
        <w:topLinePunct w:val="0"/>
        <w:autoSpaceDE/>
        <w:autoSpaceDN/>
        <w:bidi w:val="0"/>
        <w:adjustRightInd/>
        <w:snapToGrid/>
        <w:spacing w:line="560" w:lineRule="exact"/>
        <w:ind w:firstLine="1580" w:firstLineChars="5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5.山东省就业见习基本生活费花名册</w:t>
      </w:r>
    </w:p>
    <w:p w14:paraId="42599DBC">
      <w:pPr>
        <w:spacing w:line="560" w:lineRule="exact"/>
        <w:ind w:firstLine="1580" w:firstLineChars="500"/>
        <w:rPr>
          <w:rFonts w:ascii="仿宋_GB2312" w:hAnsi="仿宋_GB2312" w:eastAsia="仿宋_GB2312" w:cs="仿宋_GB2312"/>
          <w:color w:val="auto"/>
          <w:kern w:val="0"/>
          <w:sz w:val="32"/>
          <w:szCs w:val="32"/>
        </w:rPr>
      </w:pPr>
    </w:p>
    <w:p w14:paraId="0BF3891F">
      <w:pPr>
        <w:rPr>
          <w:rFonts w:hint="eastAsia" w:ascii="黑体" w:hAnsi="黑体" w:eastAsia="黑体" w:cs="仿宋_GB2312"/>
          <w:color w:val="auto"/>
          <w:sz w:val="32"/>
          <w:szCs w:val="32"/>
        </w:rPr>
      </w:pPr>
      <w:r>
        <w:rPr>
          <w:rFonts w:hint="eastAsia" w:ascii="仿宋_GB2312" w:hAnsi="仿宋_GB2312" w:eastAsia="仿宋_GB2312" w:cs="仿宋_GB2312"/>
          <w:color w:val="auto"/>
          <w:kern w:val="0"/>
          <w:sz w:val="32"/>
          <w:szCs w:val="32"/>
        </w:rPr>
        <w:br w:type="page"/>
      </w:r>
      <w:r>
        <w:rPr>
          <w:rFonts w:hint="eastAsia" w:ascii="黑体" w:hAnsi="黑体" w:eastAsia="黑体" w:cs="仿宋_GB2312"/>
          <w:color w:val="auto"/>
          <w:sz w:val="32"/>
          <w:szCs w:val="32"/>
        </w:rPr>
        <w:t>附件1</w:t>
      </w:r>
    </w:p>
    <w:p w14:paraId="5641B9EE">
      <w:pPr>
        <w:pStyle w:val="2"/>
        <w:rPr>
          <w:color w:val="auto"/>
        </w:rPr>
      </w:pPr>
    </w:p>
    <w:p w14:paraId="7F9B3985">
      <w:pPr>
        <w:spacing w:line="580" w:lineRule="exact"/>
        <w:jc w:val="center"/>
        <w:rPr>
          <w:rFonts w:ascii="楷体_GB2312" w:hAnsi="楷体" w:eastAsia="楷体_GB2312"/>
          <w:color w:val="auto"/>
          <w:sz w:val="44"/>
          <w:szCs w:val="44"/>
        </w:rPr>
      </w:pPr>
      <w:r>
        <w:rPr>
          <w:rFonts w:hint="eastAsia" w:ascii="方正小标宋简体" w:hAnsi="黑体" w:eastAsia="方正小标宋简体"/>
          <w:color w:val="auto"/>
          <w:sz w:val="44"/>
          <w:szCs w:val="44"/>
        </w:rPr>
        <w:t>就业见习协议书（参考样式）</w:t>
      </w:r>
    </w:p>
    <w:p w14:paraId="477462BE">
      <w:pPr>
        <w:jc w:val="center"/>
        <w:rPr>
          <w:rFonts w:ascii="黑体" w:hAnsi="仿宋_GB2312" w:eastAsia="黑体"/>
          <w:color w:val="auto"/>
        </w:rPr>
      </w:pPr>
    </w:p>
    <w:p w14:paraId="14EC1169">
      <w:pPr>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甲方：</w:t>
      </w:r>
      <w:r>
        <w:rPr>
          <w:rFonts w:hint="eastAsia" w:ascii="仿宋_GB2312" w:hAnsi="仿宋_GB2312" w:eastAsia="仿宋_GB2312"/>
          <w:color w:val="auto"/>
          <w:sz w:val="32"/>
          <w:szCs w:val="32"/>
          <w:u w:val="single"/>
        </w:rPr>
        <w:t>　　　　　　　　　　　　　　　　</w:t>
      </w:r>
      <w:r>
        <w:rPr>
          <w:rFonts w:hint="eastAsia" w:ascii="仿宋_GB2312" w:hAnsi="仿宋_GB2312" w:eastAsia="仿宋_GB2312"/>
          <w:color w:val="auto"/>
          <w:sz w:val="32"/>
          <w:szCs w:val="32"/>
        </w:rPr>
        <w:t>（见习单位）</w:t>
      </w:r>
    </w:p>
    <w:p w14:paraId="416192AB">
      <w:pPr>
        <w:ind w:firstLine="632" w:firstLineChars="200"/>
        <w:rPr>
          <w:rFonts w:ascii="仿宋_GB2312" w:hAnsi="仿宋_GB2312" w:eastAsia="仿宋_GB2312"/>
          <w:color w:val="auto"/>
          <w:sz w:val="32"/>
          <w:szCs w:val="32"/>
          <w:u w:val="single"/>
        </w:rPr>
      </w:pPr>
      <w:r>
        <w:rPr>
          <w:rFonts w:hint="eastAsia" w:ascii="仿宋_GB2312" w:hAnsi="仿宋_GB2312" w:eastAsia="仿宋_GB2312"/>
          <w:color w:val="auto"/>
          <w:sz w:val="32"/>
          <w:szCs w:val="32"/>
        </w:rPr>
        <w:t>法定代表人：</w:t>
      </w:r>
      <w:r>
        <w:rPr>
          <w:rFonts w:hint="eastAsia" w:ascii="仿宋_GB2312" w:hAnsi="仿宋_GB2312" w:eastAsia="仿宋_GB2312"/>
          <w:color w:val="auto"/>
          <w:sz w:val="32"/>
          <w:szCs w:val="32"/>
          <w:u w:val="single"/>
        </w:rPr>
        <w:t>　　　　　　　　　　　　　</w:t>
      </w:r>
    </w:p>
    <w:p w14:paraId="3B0216B3">
      <w:pPr>
        <w:rPr>
          <w:rFonts w:ascii="仿宋_GB2312" w:hAnsi="仿宋_GB2312" w:eastAsia="仿宋_GB2312"/>
          <w:color w:val="auto"/>
          <w:sz w:val="32"/>
          <w:szCs w:val="32"/>
        </w:rPr>
      </w:pPr>
      <w:r>
        <w:rPr>
          <w:rFonts w:hint="eastAsia" w:ascii="仿宋_GB2312" w:hAnsi="仿宋_GB2312" w:eastAsia="仿宋_GB2312"/>
          <w:color w:val="auto"/>
          <w:sz w:val="32"/>
          <w:szCs w:val="32"/>
        </w:rPr>
        <w:t>　　单位所在地：</w:t>
      </w:r>
      <w:r>
        <w:rPr>
          <w:rFonts w:hint="eastAsia" w:ascii="仿宋_GB2312" w:hAnsi="仿宋_GB2312" w:eastAsia="仿宋_GB2312"/>
          <w:color w:val="auto"/>
          <w:sz w:val="32"/>
          <w:szCs w:val="32"/>
          <w:u w:val="single"/>
        </w:rPr>
        <w:t xml:space="preserve">          　　　　　　　   </w:t>
      </w:r>
    </w:p>
    <w:p w14:paraId="720F1D7B">
      <w:pPr>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乙方：</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（见习人员）</w:t>
      </w:r>
    </w:p>
    <w:p w14:paraId="185D885A">
      <w:pPr>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身份证号码：</w:t>
      </w:r>
      <w:r>
        <w:rPr>
          <w:rFonts w:hint="eastAsia" w:ascii="仿宋_GB2312" w:hAnsi="仿宋_GB2312" w:eastAsia="仿宋_GB2312"/>
          <w:color w:val="auto"/>
          <w:sz w:val="32"/>
          <w:szCs w:val="32"/>
          <w:u w:val="single"/>
        </w:rPr>
        <w:t xml:space="preserve">    　　　　　　　      　</w:t>
      </w:r>
    </w:p>
    <w:p w14:paraId="3BED668D">
      <w:pPr>
        <w:ind w:firstLine="640"/>
        <w:rPr>
          <w:rFonts w:ascii="仿宋_GB2312" w:hAnsi="仿宋_GB2312" w:eastAsia="仿宋_GB2312"/>
          <w:color w:val="auto"/>
          <w:sz w:val="32"/>
          <w:szCs w:val="32"/>
        </w:rPr>
      </w:pPr>
      <w:r>
        <w:rPr>
          <w:rFonts w:hint="eastAsia" w:ascii="仿宋_GB2312" w:hAnsi="仿宋_GB2312" w:eastAsia="仿宋_GB2312"/>
          <w:color w:val="auto"/>
          <w:sz w:val="32"/>
          <w:szCs w:val="32"/>
        </w:rPr>
        <w:t>为明确见习人员与见习单位的责任与义务，根据国家有关法律、法规，在平等自愿的基础上，经甲乙双方协商一致，签订本协议。</w:t>
      </w:r>
    </w:p>
    <w:p w14:paraId="1B5E57EC">
      <w:pPr>
        <w:ind w:firstLine="632" w:firstLineChars="200"/>
        <w:rPr>
          <w:rFonts w:ascii="仿宋_GB2312" w:hAnsi="仿宋_GB2312" w:eastAsia="仿宋_GB2312"/>
          <w:color w:val="auto"/>
          <w:sz w:val="32"/>
          <w:szCs w:val="32"/>
        </w:rPr>
      </w:pPr>
      <w:r>
        <w:rPr>
          <w:rFonts w:hint="eastAsia" w:ascii="黑体" w:hAnsi="黑体" w:eastAsia="黑体"/>
          <w:color w:val="auto"/>
          <w:sz w:val="32"/>
          <w:szCs w:val="32"/>
        </w:rPr>
        <w:t>一、见习期限</w:t>
      </w:r>
    </w:p>
    <w:p w14:paraId="6D1DF2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乙方见习期限自</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u w:val="single"/>
          <w:lang w:val="en-US" w:eastAsia="zh-CN"/>
        </w:rPr>
        <w:t xml:space="preserve"> </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日起至</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u w:val="single"/>
        </w:rPr>
        <w:t>　　</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日止。</w:t>
      </w:r>
    </w:p>
    <w:p w14:paraId="46AF8D59">
      <w:pPr>
        <w:ind w:firstLine="632" w:firstLineChars="200"/>
        <w:rPr>
          <w:rFonts w:ascii="仿宋_GB2312" w:hAnsi="仿宋_GB2312" w:eastAsia="仿宋_GB2312"/>
          <w:color w:val="auto"/>
          <w:sz w:val="32"/>
          <w:szCs w:val="32"/>
        </w:rPr>
      </w:pPr>
      <w:r>
        <w:rPr>
          <w:rFonts w:hint="eastAsia" w:ascii="黑体" w:hAnsi="黑体" w:eastAsia="黑体"/>
          <w:color w:val="auto"/>
          <w:sz w:val="32"/>
          <w:szCs w:val="32"/>
        </w:rPr>
        <w:t>二、见习岗位</w:t>
      </w:r>
    </w:p>
    <w:p w14:paraId="1A6204BF">
      <w:pPr>
        <w:ind w:firstLine="600"/>
        <w:rPr>
          <w:rFonts w:ascii="仿宋_GB2312" w:hAnsi="仿宋_GB2312" w:eastAsia="仿宋_GB2312"/>
          <w:color w:val="auto"/>
          <w:sz w:val="32"/>
          <w:szCs w:val="32"/>
          <w:u w:val="single"/>
        </w:rPr>
      </w:pPr>
      <w:r>
        <w:rPr>
          <w:rFonts w:hint="eastAsia" w:ascii="仿宋_GB2312" w:hAnsi="仿宋_GB2312" w:eastAsia="仿宋_GB2312"/>
          <w:color w:val="auto"/>
          <w:sz w:val="32"/>
          <w:szCs w:val="32"/>
        </w:rPr>
        <w:t>甲方根据乙方的专业和工作需要，安排乙方到</w:t>
      </w:r>
      <w:r>
        <w:rPr>
          <w:rFonts w:hint="eastAsia" w:ascii="仿宋_GB2312" w:hAnsi="仿宋_GB2312" w:eastAsia="仿宋_GB2312"/>
          <w:color w:val="auto"/>
          <w:sz w:val="32"/>
          <w:szCs w:val="32"/>
          <w:u w:val="single"/>
        </w:rPr>
        <w:t xml:space="preserve">             </w:t>
      </w:r>
    </w:p>
    <w:p w14:paraId="70A2644D">
      <w:pPr>
        <w:rPr>
          <w:rFonts w:ascii="仿宋_GB2312" w:hAnsi="仿宋_GB2312" w:eastAsia="仿宋_GB2312"/>
          <w:color w:val="auto"/>
          <w:sz w:val="32"/>
          <w:szCs w:val="32"/>
        </w:rPr>
      </w:pP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部门，从事</w:t>
      </w:r>
      <w:r>
        <w:rPr>
          <w:rFonts w:hint="eastAsia" w:ascii="仿宋_GB2312" w:hAnsi="仿宋_GB2312" w:eastAsia="仿宋_GB2312"/>
          <w:color w:val="auto"/>
          <w:sz w:val="32"/>
          <w:szCs w:val="32"/>
          <w:u w:val="single"/>
        </w:rPr>
        <w:t xml:space="preserve">           　　　 </w:t>
      </w:r>
      <w:r>
        <w:rPr>
          <w:rFonts w:hint="eastAsia" w:ascii="仿宋_GB2312" w:hAnsi="仿宋_GB2312" w:eastAsia="仿宋_GB2312"/>
          <w:color w:val="auto"/>
          <w:sz w:val="32"/>
          <w:szCs w:val="32"/>
        </w:rPr>
        <w:t>工作。</w:t>
      </w:r>
    </w:p>
    <w:p w14:paraId="0519790C">
      <w:pPr>
        <w:ind w:firstLine="632" w:firstLineChars="200"/>
        <w:rPr>
          <w:rFonts w:ascii="仿宋_GB2312" w:hAnsi="仿宋_GB2312" w:eastAsia="仿宋_GB2312"/>
          <w:color w:val="auto"/>
          <w:sz w:val="32"/>
          <w:szCs w:val="32"/>
        </w:rPr>
      </w:pPr>
      <w:r>
        <w:rPr>
          <w:rFonts w:hint="eastAsia" w:ascii="黑体" w:hAnsi="黑体" w:eastAsia="黑体"/>
          <w:color w:val="auto"/>
          <w:sz w:val="32"/>
          <w:szCs w:val="32"/>
        </w:rPr>
        <w:t>三、甲方义务</w:t>
      </w:r>
    </w:p>
    <w:p w14:paraId="01C17A06">
      <w:pPr>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甲方为乙方落实带教老师或传、帮、带负责人。</w:t>
      </w:r>
    </w:p>
    <w:p w14:paraId="427177AB">
      <w:pPr>
        <w:ind w:firstLine="632" w:firstLineChars="200"/>
        <w:rPr>
          <w:rFonts w:ascii="仿宋_GB2312" w:hAnsi="仿宋_GB2312" w:eastAsia="仿宋_GB2312"/>
          <w:b/>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甲</w:t>
      </w:r>
      <w:r>
        <w:rPr>
          <w:rFonts w:hint="eastAsia" w:ascii="仿宋_GB2312" w:hAnsi="仿宋_GB2312" w:eastAsia="仿宋_GB2312"/>
          <w:b/>
          <w:color w:val="auto"/>
          <w:sz w:val="32"/>
          <w:szCs w:val="32"/>
        </w:rPr>
        <w:t>方为乙方提供</w:t>
      </w:r>
      <w:r>
        <w:rPr>
          <w:rFonts w:hint="eastAsia" w:ascii="仿宋_GB2312" w:hAnsi="仿宋_GB2312" w:eastAsia="仿宋_GB2312"/>
          <w:b/>
          <w:color w:val="auto"/>
          <w:sz w:val="32"/>
          <w:szCs w:val="32"/>
          <w:u w:val="single"/>
        </w:rPr>
        <w:t xml:space="preserve">    </w:t>
      </w:r>
      <w:r>
        <w:rPr>
          <w:rFonts w:hint="eastAsia" w:ascii="仿宋_GB2312" w:hAnsi="仿宋_GB2312" w:eastAsia="仿宋_GB2312"/>
          <w:b/>
          <w:color w:val="auto"/>
          <w:sz w:val="32"/>
          <w:szCs w:val="32"/>
        </w:rPr>
        <w:t>元/月的基本生活费及</w:t>
      </w:r>
      <w:r>
        <w:rPr>
          <w:rFonts w:hint="eastAsia" w:ascii="仿宋_GB2312" w:hAnsi="仿宋_GB2312" w:eastAsia="仿宋_GB2312"/>
          <w:b/>
          <w:color w:val="auto"/>
          <w:sz w:val="32"/>
          <w:szCs w:val="32"/>
          <w:u w:val="single"/>
        </w:rPr>
        <w:t xml:space="preserve">       (其他待遇)       </w:t>
      </w:r>
      <w:r>
        <w:rPr>
          <w:rFonts w:hint="eastAsia" w:ascii="仿宋_GB2312" w:hAnsi="仿宋_GB2312" w:eastAsia="仿宋_GB2312"/>
          <w:b/>
          <w:color w:val="auto"/>
          <w:sz w:val="32"/>
          <w:szCs w:val="32"/>
        </w:rPr>
        <w:t>，在每月</w:t>
      </w:r>
      <w:r>
        <w:rPr>
          <w:rFonts w:hint="eastAsia" w:ascii="仿宋_GB2312" w:hAnsi="仿宋_GB2312" w:eastAsia="仿宋_GB2312"/>
          <w:b/>
          <w:color w:val="auto"/>
          <w:sz w:val="32"/>
          <w:szCs w:val="32"/>
          <w:u w:val="single"/>
        </w:rPr>
        <w:t xml:space="preserve">                 </w:t>
      </w:r>
      <w:r>
        <w:rPr>
          <w:rFonts w:hint="eastAsia" w:ascii="仿宋_GB2312" w:hAnsi="仿宋_GB2312" w:eastAsia="仿宋_GB2312"/>
          <w:b/>
          <w:color w:val="auto"/>
          <w:sz w:val="32"/>
          <w:szCs w:val="32"/>
        </w:rPr>
        <w:t>日前发放。</w:t>
      </w:r>
    </w:p>
    <w:p w14:paraId="35D23600">
      <w:pPr>
        <w:ind w:firstLine="664" w:firstLineChars="210"/>
        <w:rPr>
          <w:rFonts w:ascii="仿宋_GB2312" w:eastAsia="仿宋_GB2312"/>
          <w:b/>
          <w:bCs/>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甲方对乙方进行日常考核，见习期满出具《山东省就业见习鉴定表》</w:t>
      </w:r>
      <w:r>
        <w:rPr>
          <w:rFonts w:hint="eastAsia" w:ascii="仿宋_GB2312" w:eastAsia="仿宋_GB2312"/>
          <w:bCs/>
          <w:color w:val="auto"/>
          <w:sz w:val="32"/>
          <w:szCs w:val="32"/>
        </w:rPr>
        <w:t>。</w:t>
      </w:r>
    </w:p>
    <w:p w14:paraId="587DA4FB">
      <w:pPr>
        <w:ind w:firstLine="600"/>
        <w:rPr>
          <w:rFonts w:ascii="仿宋_GB2312" w:hAnsi="仿宋_GB2312" w:eastAsia="仿宋_GB2312"/>
          <w:color w:val="auto"/>
          <w:sz w:val="32"/>
          <w:szCs w:val="32"/>
        </w:rPr>
      </w:pP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甲方</w:t>
      </w:r>
      <w:r>
        <w:rPr>
          <w:rFonts w:hint="eastAsia" w:ascii="仿宋_GB2312" w:hAnsi="仿宋_GB2312" w:eastAsia="仿宋_GB2312"/>
          <w:color w:val="auto"/>
          <w:sz w:val="32"/>
          <w:szCs w:val="32"/>
        </w:rPr>
        <w:t>正式录（聘）用</w:t>
      </w:r>
      <w:r>
        <w:rPr>
          <w:rFonts w:hint="eastAsia" w:ascii="仿宋_GB2312" w:hAnsi="仿宋_GB2312" w:eastAsia="仿宋_GB2312"/>
          <w:color w:val="auto"/>
          <w:sz w:val="32"/>
          <w:szCs w:val="32"/>
          <w:lang w:val="en-US" w:eastAsia="zh-CN"/>
        </w:rPr>
        <w:t>乙方</w:t>
      </w:r>
      <w:r>
        <w:rPr>
          <w:rFonts w:hint="eastAsia" w:ascii="仿宋_GB2312" w:hAnsi="仿宋_GB2312" w:eastAsia="仿宋_GB2312"/>
          <w:color w:val="auto"/>
          <w:sz w:val="32"/>
          <w:szCs w:val="32"/>
        </w:rPr>
        <w:t>，应及时办理见习终止业务，与</w:t>
      </w:r>
      <w:r>
        <w:rPr>
          <w:rFonts w:hint="eastAsia" w:ascii="仿宋_GB2312" w:hAnsi="仿宋_GB2312" w:eastAsia="仿宋_GB2312"/>
          <w:color w:val="auto"/>
          <w:sz w:val="32"/>
          <w:szCs w:val="32"/>
          <w:lang w:val="en-US" w:eastAsia="zh-CN"/>
        </w:rPr>
        <w:t>乙方</w:t>
      </w:r>
      <w:r>
        <w:rPr>
          <w:rFonts w:hint="eastAsia" w:ascii="仿宋_GB2312" w:hAnsi="仿宋_GB2312" w:eastAsia="仿宋_GB2312"/>
          <w:color w:val="auto"/>
          <w:sz w:val="32"/>
          <w:szCs w:val="32"/>
        </w:rPr>
        <w:t>签订劳动合同，</w:t>
      </w:r>
      <w:r>
        <w:rPr>
          <w:rFonts w:hint="eastAsia" w:ascii="仿宋_GB2312" w:hAnsi="仿宋_GB2312" w:eastAsia="仿宋_GB2312"/>
          <w:color w:val="auto"/>
          <w:sz w:val="32"/>
          <w:szCs w:val="32"/>
          <w:lang w:val="en-US" w:eastAsia="zh-CN"/>
        </w:rPr>
        <w:t>并按规定</w:t>
      </w:r>
      <w:r>
        <w:rPr>
          <w:rFonts w:hint="eastAsia" w:ascii="仿宋_GB2312" w:hAnsi="仿宋_GB2312" w:eastAsia="仿宋_GB2312"/>
          <w:color w:val="auto"/>
          <w:sz w:val="32"/>
          <w:szCs w:val="32"/>
        </w:rPr>
        <w:t>缴纳社会保险。</w:t>
      </w:r>
    </w:p>
    <w:p w14:paraId="0F713C4D">
      <w:pPr>
        <w:ind w:firstLine="6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甲方不得单方提前解除见习协议，本协议另有约定除外。</w:t>
      </w:r>
    </w:p>
    <w:p w14:paraId="52603365">
      <w:pPr>
        <w:ind w:firstLine="632" w:firstLineChars="200"/>
        <w:rPr>
          <w:rFonts w:ascii="仿宋_GB2312" w:hAnsi="仿宋_GB2312" w:eastAsia="仿宋_GB2312"/>
          <w:color w:val="auto"/>
          <w:sz w:val="32"/>
          <w:szCs w:val="32"/>
        </w:rPr>
      </w:pPr>
      <w:r>
        <w:rPr>
          <w:rFonts w:hint="eastAsia" w:ascii="黑体" w:hAnsi="黑体" w:eastAsia="黑体"/>
          <w:color w:val="auto"/>
          <w:sz w:val="32"/>
          <w:szCs w:val="32"/>
        </w:rPr>
        <w:t>四、乙方义务</w:t>
      </w:r>
    </w:p>
    <w:p w14:paraId="3705DDD2">
      <w:pPr>
        <w:ind w:firstLine="632"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乙方应遵守国家的法律法规、甲方的见习规章及其他各项规章制度。乙方如违反国家法规或企业规章，甲方可根据情节轻重给予必要的批评教育，限期整改；情节严重的，甲方有权终止见习协议。</w:t>
      </w:r>
    </w:p>
    <w:p w14:paraId="4385C15D">
      <w:pPr>
        <w:ind w:firstLine="600"/>
        <w:rPr>
          <w:rFonts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因乙方个人原因造成甲方财产重大损失的，甲方按相关规定处理。若因乙方原因需要提前解除见习协议，乙方须提前3日以书面形式通知甲方，做好交接后可解除见习协议。就业见习终止证明须报当地人力资源社会保障部门备案。</w:t>
      </w:r>
    </w:p>
    <w:p w14:paraId="52F10391">
      <w:pPr>
        <w:ind w:firstLine="632" w:firstLineChars="200"/>
        <w:rPr>
          <w:rFonts w:ascii="仿宋_GB2312" w:hAnsi="仿宋_GB2312" w:eastAsia="仿宋_GB2312"/>
          <w:color w:val="auto"/>
          <w:sz w:val="32"/>
          <w:szCs w:val="32"/>
        </w:rPr>
      </w:pPr>
      <w:r>
        <w:rPr>
          <w:rFonts w:hint="eastAsia" w:ascii="黑体" w:hAnsi="黑体" w:eastAsia="黑体"/>
          <w:color w:val="auto"/>
          <w:sz w:val="32"/>
          <w:szCs w:val="32"/>
        </w:rPr>
        <w:t>五、劳动保护</w:t>
      </w:r>
    </w:p>
    <w:p w14:paraId="4B3B2FCF">
      <w:pPr>
        <w:ind w:firstLine="600"/>
        <w:rPr>
          <w:rFonts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甲方应为乙方缴纳工伤保险或购买人身意外伤害保险，甲方所办理保险的保险期限应不低于本协议约定的见习期限。</w:t>
      </w:r>
    </w:p>
    <w:p w14:paraId="148A7302">
      <w:pPr>
        <w:ind w:firstLine="600"/>
        <w:rPr>
          <w:rFonts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甲方为乙方提供符合国家规定的安全卫生的工作环境，并根据岗位需要，按国家规定向其提供必需的劳动防护用品。</w:t>
      </w:r>
    </w:p>
    <w:p w14:paraId="70CDF37D">
      <w:pPr>
        <w:ind w:firstLine="632" w:firstLineChars="200"/>
        <w:rPr>
          <w:rFonts w:ascii="黑体" w:hAnsi="黑体" w:eastAsia="黑体"/>
          <w:color w:val="auto"/>
          <w:sz w:val="32"/>
          <w:szCs w:val="32"/>
        </w:rPr>
      </w:pPr>
      <w:r>
        <w:rPr>
          <w:rFonts w:hint="eastAsia" w:ascii="黑体" w:hAnsi="黑体" w:eastAsia="黑体"/>
          <w:color w:val="auto"/>
          <w:sz w:val="32"/>
          <w:szCs w:val="32"/>
        </w:rPr>
        <w:t>六、尚需协商一致的其他问题</w:t>
      </w:r>
    </w:p>
    <w:p w14:paraId="3D61B14A">
      <w:pPr>
        <w:ind w:firstLine="632" w:firstLineChars="200"/>
        <w:rPr>
          <w:rFonts w:ascii="仿宋_GB2312" w:hAnsi="仿宋_GB2312" w:eastAsia="仿宋_GB2312"/>
          <w:color w:val="auto"/>
          <w:sz w:val="32"/>
          <w:szCs w:val="32"/>
          <w:u w:val="dotted"/>
        </w:rPr>
      </w:pPr>
      <w:r>
        <w:rPr>
          <w:rFonts w:hint="eastAsia" w:ascii="仿宋_GB2312" w:hAnsi="仿宋_GB2312" w:eastAsia="仿宋_GB2312"/>
          <w:color w:val="auto"/>
          <w:sz w:val="32"/>
          <w:szCs w:val="32"/>
          <w:u w:val="dotted"/>
        </w:rPr>
        <w:t xml:space="preserve">          　　　　　　　                  　　　　　</w:t>
      </w:r>
    </w:p>
    <w:p w14:paraId="2D5240D3">
      <w:pPr>
        <w:rPr>
          <w:rFonts w:ascii="仿宋_GB2312" w:hAnsi="仿宋_GB2312" w:eastAsia="仿宋_GB2312"/>
          <w:color w:val="auto"/>
          <w:sz w:val="32"/>
          <w:szCs w:val="32"/>
          <w:u w:val="dotted"/>
        </w:rPr>
      </w:pPr>
      <w:r>
        <w:rPr>
          <w:rFonts w:hint="eastAsia" w:ascii="仿宋_GB2312" w:hAnsi="仿宋_GB2312" w:eastAsia="仿宋_GB2312"/>
          <w:color w:val="auto"/>
          <w:sz w:val="32"/>
          <w:szCs w:val="32"/>
          <w:u w:val="dotted"/>
        </w:rPr>
        <w:t xml:space="preserve">          　　　　　　　                　　　　　　　  </w:t>
      </w:r>
    </w:p>
    <w:p w14:paraId="0554B206">
      <w:pPr>
        <w:rPr>
          <w:rFonts w:ascii="仿宋_GB2312" w:hAnsi="仿宋_GB2312" w:eastAsia="仿宋_GB2312"/>
          <w:color w:val="auto"/>
          <w:sz w:val="32"/>
          <w:szCs w:val="32"/>
          <w:u w:val="dotted"/>
        </w:rPr>
      </w:pPr>
      <w:r>
        <w:rPr>
          <w:rFonts w:hint="eastAsia" w:ascii="仿宋_GB2312" w:hAnsi="仿宋_GB2312" w:eastAsia="仿宋_GB2312"/>
          <w:color w:val="auto"/>
          <w:sz w:val="32"/>
          <w:szCs w:val="32"/>
          <w:u w:val="dotted"/>
        </w:rPr>
        <w:t xml:space="preserve">          　　　　　　　                　　　　　　　  </w:t>
      </w:r>
    </w:p>
    <w:p w14:paraId="01A23A21">
      <w:pPr>
        <w:ind w:firstLine="585"/>
        <w:rPr>
          <w:rFonts w:ascii="黑体" w:hAnsi="仿宋_GB2312" w:eastAsia="黑体"/>
          <w:color w:val="auto"/>
          <w:sz w:val="32"/>
          <w:szCs w:val="32"/>
        </w:rPr>
      </w:pPr>
      <w:r>
        <w:rPr>
          <w:rFonts w:hint="eastAsia" w:ascii="黑体" w:hAnsi="仿宋_GB2312" w:eastAsia="黑体"/>
          <w:color w:val="auto"/>
          <w:sz w:val="32"/>
          <w:szCs w:val="32"/>
        </w:rPr>
        <w:t>七、本协议未尽事宜由双方及时协商解决。</w:t>
      </w:r>
    </w:p>
    <w:p w14:paraId="660F66FD">
      <w:pPr>
        <w:ind w:firstLine="585"/>
        <w:rPr>
          <w:rFonts w:ascii="黑体" w:hAnsi="仿宋_GB2312" w:eastAsia="黑体"/>
          <w:color w:val="auto"/>
          <w:sz w:val="32"/>
          <w:szCs w:val="32"/>
        </w:rPr>
      </w:pPr>
      <w:r>
        <w:rPr>
          <w:rFonts w:hint="eastAsia" w:ascii="黑体" w:hAnsi="仿宋_GB2312" w:eastAsia="黑体"/>
          <w:color w:val="auto"/>
          <w:sz w:val="32"/>
          <w:szCs w:val="32"/>
        </w:rPr>
        <w:t>八、双方对履行本协议产生争议的，可协商解决。协商不成功的，可向当地基层调解组织申请调解，或依法向人民法院起诉。</w:t>
      </w:r>
    </w:p>
    <w:p w14:paraId="20AAAA58">
      <w:pPr>
        <w:ind w:firstLine="600"/>
        <w:rPr>
          <w:rFonts w:ascii="仿宋_GB2312" w:hAnsi="仿宋_GB2312" w:eastAsia="仿宋_GB2312"/>
          <w:color w:val="auto"/>
          <w:sz w:val="32"/>
          <w:szCs w:val="32"/>
        </w:rPr>
      </w:pPr>
      <w:r>
        <w:rPr>
          <w:rFonts w:hint="eastAsia" w:ascii="黑体" w:hAnsi="仿宋_GB2312" w:eastAsia="黑体"/>
          <w:color w:val="auto"/>
          <w:sz w:val="32"/>
          <w:szCs w:val="32"/>
        </w:rPr>
        <w:t>九、本协议经甲乙双方签字后生效。</w:t>
      </w:r>
      <w:r>
        <w:rPr>
          <w:rFonts w:hint="eastAsia" w:ascii="仿宋_GB2312" w:hAnsi="仿宋_GB2312" w:eastAsia="仿宋_GB2312"/>
          <w:color w:val="auto"/>
          <w:sz w:val="32"/>
          <w:szCs w:val="32"/>
        </w:rPr>
        <w:t>本协议一式两份，双方各执一份。</w:t>
      </w:r>
    </w:p>
    <w:p w14:paraId="593AF2A8">
      <w:pPr>
        <w:rPr>
          <w:rFonts w:ascii="仿宋_GB2312" w:hAnsi="仿宋_GB2312" w:eastAsia="仿宋_GB2312"/>
          <w:color w:val="auto"/>
          <w:sz w:val="32"/>
          <w:szCs w:val="32"/>
        </w:rPr>
      </w:pPr>
    </w:p>
    <w:p w14:paraId="203CA335">
      <w:pPr>
        <w:rPr>
          <w:rFonts w:ascii="仿宋_GB2312" w:hAnsi="仿宋_GB2312" w:eastAsia="仿宋_GB2312"/>
          <w:color w:val="auto"/>
          <w:sz w:val="32"/>
          <w:szCs w:val="32"/>
        </w:rPr>
      </w:pPr>
      <w:r>
        <w:rPr>
          <w:rFonts w:hint="eastAsia" w:ascii="仿宋_GB2312" w:hAnsi="仿宋_GB2312" w:eastAsia="仿宋_GB2312"/>
          <w:color w:val="auto"/>
          <w:sz w:val="32"/>
          <w:szCs w:val="32"/>
        </w:rPr>
        <w:t>甲方（公章）                         乙方（签字）：</w:t>
      </w:r>
    </w:p>
    <w:p w14:paraId="0A9D9AEC">
      <w:pPr>
        <w:rPr>
          <w:rFonts w:ascii="仿宋_GB2312" w:hAnsi="仿宋_GB2312" w:eastAsia="仿宋_GB2312"/>
          <w:color w:val="auto"/>
          <w:sz w:val="32"/>
          <w:szCs w:val="32"/>
        </w:rPr>
      </w:pPr>
    </w:p>
    <w:p w14:paraId="29B24299">
      <w:pPr>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法定代表人（签字）：    </w:t>
      </w:r>
    </w:p>
    <w:p w14:paraId="041D38CF">
      <w:pPr>
        <w:rPr>
          <w:rFonts w:ascii="仿宋_GB2312" w:hAnsi="仿宋_GB2312" w:eastAsia="仿宋_GB2312"/>
          <w:color w:val="auto"/>
          <w:sz w:val="32"/>
          <w:szCs w:val="32"/>
        </w:rPr>
      </w:pPr>
    </w:p>
    <w:p w14:paraId="0AFB108E">
      <w:pPr>
        <w:rPr>
          <w:rFonts w:ascii="仿宋_GB2312" w:hAnsi="仿宋_GB2312" w:eastAsia="仿宋_GB2312"/>
          <w:color w:val="auto"/>
          <w:sz w:val="32"/>
          <w:szCs w:val="32"/>
        </w:rPr>
      </w:pP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年</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月</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日</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年</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月</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日</w:t>
      </w:r>
    </w:p>
    <w:p w14:paraId="6625292C">
      <w:pPr>
        <w:rPr>
          <w:rFonts w:ascii="黑体" w:hAnsi="黑体" w:eastAsia="黑体" w:cs="黑体"/>
          <w:color w:val="auto"/>
          <w:sz w:val="32"/>
          <w:szCs w:val="32"/>
        </w:rPr>
      </w:pPr>
    </w:p>
    <w:p w14:paraId="719E16F9">
      <w:pPr>
        <w:rPr>
          <w:rFonts w:ascii="黑体" w:hAnsi="黑体" w:eastAsia="黑体" w:cs="仿宋_GB2312"/>
          <w:color w:val="auto"/>
          <w:sz w:val="32"/>
          <w:szCs w:val="32"/>
        </w:rPr>
      </w:pPr>
      <w:r>
        <w:rPr>
          <w:rFonts w:ascii="黑体" w:hAnsi="黑体" w:eastAsia="黑体" w:cs="仿宋_GB2312"/>
          <w:color w:val="auto"/>
          <w:sz w:val="32"/>
          <w:szCs w:val="32"/>
        </w:rPr>
        <w:br w:type="page"/>
      </w:r>
    </w:p>
    <w:p w14:paraId="201F90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rPr>
        <w:t>附件2</w:t>
      </w:r>
    </w:p>
    <w:p w14:paraId="58472D86">
      <w:pPr>
        <w:pStyle w:val="2"/>
        <w:rPr>
          <w:color w:val="auto"/>
        </w:rPr>
      </w:pPr>
    </w:p>
    <w:p w14:paraId="578A72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44"/>
          <w:szCs w:val="44"/>
        </w:rPr>
      </w:pPr>
      <w:r>
        <w:rPr>
          <w:rFonts w:hint="eastAsia" w:ascii="方正小标宋简体" w:hAnsi="黑体" w:eastAsia="方正小标宋简体"/>
          <w:color w:val="auto"/>
          <w:sz w:val="44"/>
          <w:szCs w:val="44"/>
        </w:rPr>
        <w:t>山东省就业见习鉴定表</w:t>
      </w:r>
    </w:p>
    <w:p w14:paraId="620E911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rPr>
      </w:pPr>
    </w:p>
    <w:p w14:paraId="72D7E3B3">
      <w:pPr>
        <w:rPr>
          <w:rFonts w:ascii="宋体" w:hAnsi="宋体"/>
          <w:color w:val="auto"/>
          <w:sz w:val="24"/>
          <w:szCs w:val="18"/>
        </w:rPr>
      </w:pPr>
      <w:r>
        <w:rPr>
          <w:rFonts w:hint="eastAsia" w:ascii="宋体" w:hAnsi="宋体"/>
          <w:color w:val="auto"/>
          <w:sz w:val="24"/>
          <w:szCs w:val="18"/>
        </w:rPr>
        <w:t>见习单位：                                见习岗位：</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1"/>
        <w:gridCol w:w="1116"/>
        <w:gridCol w:w="2137"/>
        <w:gridCol w:w="1255"/>
        <w:gridCol w:w="2147"/>
        <w:gridCol w:w="1900"/>
      </w:tblGrid>
      <w:tr w14:paraId="50047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6" w:hRule="atLeast"/>
          <w:jc w:val="center"/>
        </w:trPr>
        <w:tc>
          <w:tcPr>
            <w:tcW w:w="1947" w:type="dxa"/>
            <w:gridSpan w:val="2"/>
            <w:vAlign w:val="center"/>
          </w:tcPr>
          <w:p w14:paraId="0595B5BB">
            <w:pPr>
              <w:spacing w:line="400" w:lineRule="exact"/>
              <w:jc w:val="center"/>
              <w:rPr>
                <w:rFonts w:ascii="宋体" w:hAnsi="宋体"/>
                <w:color w:val="auto"/>
                <w:sz w:val="24"/>
                <w:szCs w:val="18"/>
              </w:rPr>
            </w:pPr>
            <w:r>
              <w:rPr>
                <w:rFonts w:hint="eastAsia" w:ascii="宋体" w:hAnsi="宋体"/>
                <w:color w:val="auto"/>
                <w:sz w:val="24"/>
                <w:szCs w:val="18"/>
              </w:rPr>
              <w:t>姓名</w:t>
            </w:r>
          </w:p>
        </w:tc>
        <w:tc>
          <w:tcPr>
            <w:tcW w:w="2137" w:type="dxa"/>
            <w:vAlign w:val="center"/>
          </w:tcPr>
          <w:p w14:paraId="28D454A8">
            <w:pPr>
              <w:spacing w:line="400" w:lineRule="exact"/>
              <w:jc w:val="center"/>
              <w:rPr>
                <w:rFonts w:ascii="宋体" w:hAnsi="宋体"/>
                <w:color w:val="auto"/>
                <w:sz w:val="24"/>
                <w:szCs w:val="18"/>
              </w:rPr>
            </w:pPr>
          </w:p>
        </w:tc>
        <w:tc>
          <w:tcPr>
            <w:tcW w:w="1255" w:type="dxa"/>
            <w:vAlign w:val="center"/>
          </w:tcPr>
          <w:p w14:paraId="0D5CD16E">
            <w:pPr>
              <w:spacing w:line="400" w:lineRule="exact"/>
              <w:jc w:val="center"/>
              <w:rPr>
                <w:rFonts w:ascii="宋体" w:hAnsi="宋体"/>
                <w:color w:val="auto"/>
                <w:sz w:val="24"/>
                <w:szCs w:val="18"/>
              </w:rPr>
            </w:pPr>
            <w:r>
              <w:rPr>
                <w:rFonts w:hint="eastAsia" w:ascii="宋体" w:hAnsi="宋体"/>
                <w:color w:val="auto"/>
                <w:sz w:val="24"/>
                <w:szCs w:val="18"/>
              </w:rPr>
              <w:t>性别</w:t>
            </w:r>
          </w:p>
        </w:tc>
        <w:tc>
          <w:tcPr>
            <w:tcW w:w="2147" w:type="dxa"/>
            <w:vAlign w:val="center"/>
          </w:tcPr>
          <w:p w14:paraId="2089828D">
            <w:pPr>
              <w:spacing w:line="400" w:lineRule="exact"/>
              <w:jc w:val="center"/>
              <w:rPr>
                <w:rFonts w:ascii="宋体" w:hAnsi="宋体"/>
                <w:color w:val="auto"/>
                <w:sz w:val="24"/>
                <w:szCs w:val="18"/>
              </w:rPr>
            </w:pPr>
          </w:p>
        </w:tc>
        <w:tc>
          <w:tcPr>
            <w:tcW w:w="1900" w:type="dxa"/>
            <w:vMerge w:val="restart"/>
            <w:vAlign w:val="center"/>
          </w:tcPr>
          <w:p w14:paraId="51802C20">
            <w:pPr>
              <w:spacing w:line="400" w:lineRule="exact"/>
              <w:jc w:val="center"/>
              <w:rPr>
                <w:rFonts w:ascii="宋体" w:hAnsi="宋体"/>
                <w:color w:val="auto"/>
                <w:sz w:val="24"/>
                <w:szCs w:val="18"/>
              </w:rPr>
            </w:pPr>
            <w:r>
              <w:rPr>
                <w:rFonts w:hint="eastAsia" w:ascii="宋体" w:hAnsi="宋体"/>
                <w:color w:val="auto"/>
                <w:sz w:val="24"/>
                <w:szCs w:val="18"/>
              </w:rPr>
              <w:t>照片</w:t>
            </w:r>
          </w:p>
        </w:tc>
      </w:tr>
      <w:tr w14:paraId="5A97D8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8" w:hRule="atLeast"/>
          <w:jc w:val="center"/>
        </w:trPr>
        <w:tc>
          <w:tcPr>
            <w:tcW w:w="1947" w:type="dxa"/>
            <w:gridSpan w:val="2"/>
            <w:vAlign w:val="center"/>
          </w:tcPr>
          <w:p w14:paraId="3561269B">
            <w:pPr>
              <w:spacing w:line="400" w:lineRule="exact"/>
              <w:jc w:val="center"/>
              <w:rPr>
                <w:rFonts w:ascii="宋体" w:hAnsi="宋体"/>
                <w:color w:val="auto"/>
                <w:sz w:val="24"/>
                <w:szCs w:val="18"/>
              </w:rPr>
            </w:pPr>
            <w:r>
              <w:rPr>
                <w:rFonts w:hint="eastAsia" w:ascii="宋体" w:hAnsi="宋体"/>
                <w:color w:val="auto"/>
                <w:sz w:val="24"/>
                <w:szCs w:val="18"/>
              </w:rPr>
              <w:t>出生年月日</w:t>
            </w:r>
          </w:p>
        </w:tc>
        <w:tc>
          <w:tcPr>
            <w:tcW w:w="2137" w:type="dxa"/>
            <w:vAlign w:val="center"/>
          </w:tcPr>
          <w:p w14:paraId="232FA3C4">
            <w:pPr>
              <w:spacing w:line="400" w:lineRule="exact"/>
              <w:jc w:val="center"/>
              <w:rPr>
                <w:rFonts w:ascii="宋体" w:hAnsi="宋体"/>
                <w:color w:val="auto"/>
                <w:sz w:val="24"/>
                <w:szCs w:val="18"/>
              </w:rPr>
            </w:pPr>
          </w:p>
        </w:tc>
        <w:tc>
          <w:tcPr>
            <w:tcW w:w="1255" w:type="dxa"/>
            <w:vAlign w:val="center"/>
          </w:tcPr>
          <w:p w14:paraId="4C02D006">
            <w:pPr>
              <w:spacing w:line="400" w:lineRule="exact"/>
              <w:jc w:val="center"/>
              <w:rPr>
                <w:rFonts w:ascii="宋体" w:hAnsi="宋体"/>
                <w:color w:val="auto"/>
                <w:sz w:val="24"/>
                <w:szCs w:val="18"/>
              </w:rPr>
            </w:pPr>
            <w:r>
              <w:rPr>
                <w:rFonts w:hint="eastAsia" w:ascii="宋体" w:hAnsi="宋体"/>
                <w:color w:val="auto"/>
                <w:sz w:val="24"/>
                <w:szCs w:val="18"/>
              </w:rPr>
              <w:t>籍贯</w:t>
            </w:r>
          </w:p>
        </w:tc>
        <w:tc>
          <w:tcPr>
            <w:tcW w:w="2147" w:type="dxa"/>
            <w:vAlign w:val="center"/>
          </w:tcPr>
          <w:p w14:paraId="7E0F5EEE">
            <w:pPr>
              <w:spacing w:line="400" w:lineRule="exact"/>
              <w:jc w:val="center"/>
              <w:rPr>
                <w:rFonts w:ascii="宋体" w:hAnsi="宋体"/>
                <w:color w:val="auto"/>
                <w:sz w:val="24"/>
                <w:szCs w:val="18"/>
              </w:rPr>
            </w:pPr>
          </w:p>
        </w:tc>
        <w:tc>
          <w:tcPr>
            <w:tcW w:w="1900" w:type="dxa"/>
            <w:vMerge w:val="continue"/>
            <w:vAlign w:val="center"/>
          </w:tcPr>
          <w:p w14:paraId="7C267EF2">
            <w:pPr>
              <w:spacing w:line="400" w:lineRule="exact"/>
              <w:jc w:val="center"/>
              <w:rPr>
                <w:rFonts w:ascii="宋体" w:hAnsi="宋体"/>
                <w:color w:val="auto"/>
                <w:sz w:val="24"/>
                <w:szCs w:val="18"/>
              </w:rPr>
            </w:pPr>
          </w:p>
        </w:tc>
      </w:tr>
      <w:tr w14:paraId="6350D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04" w:hRule="atLeast"/>
          <w:jc w:val="center"/>
        </w:trPr>
        <w:tc>
          <w:tcPr>
            <w:tcW w:w="1947" w:type="dxa"/>
            <w:gridSpan w:val="2"/>
            <w:vAlign w:val="center"/>
          </w:tcPr>
          <w:p w14:paraId="3F6DA0B3">
            <w:pPr>
              <w:spacing w:line="400" w:lineRule="exact"/>
              <w:jc w:val="center"/>
              <w:rPr>
                <w:rFonts w:ascii="宋体" w:hAnsi="宋体"/>
                <w:color w:val="auto"/>
                <w:sz w:val="24"/>
                <w:szCs w:val="18"/>
              </w:rPr>
            </w:pPr>
            <w:r>
              <w:rPr>
                <w:rFonts w:hint="eastAsia" w:ascii="宋体" w:hAnsi="宋体"/>
                <w:color w:val="auto"/>
                <w:sz w:val="24"/>
                <w:szCs w:val="18"/>
              </w:rPr>
              <w:t>身份证号</w:t>
            </w:r>
          </w:p>
        </w:tc>
        <w:tc>
          <w:tcPr>
            <w:tcW w:w="2137" w:type="dxa"/>
            <w:vAlign w:val="center"/>
          </w:tcPr>
          <w:p w14:paraId="77D1081F">
            <w:pPr>
              <w:spacing w:line="400" w:lineRule="exact"/>
              <w:rPr>
                <w:rFonts w:ascii="宋体" w:hAnsi="宋体"/>
                <w:color w:val="auto"/>
                <w:sz w:val="24"/>
                <w:szCs w:val="18"/>
              </w:rPr>
            </w:pPr>
          </w:p>
        </w:tc>
        <w:tc>
          <w:tcPr>
            <w:tcW w:w="1255" w:type="dxa"/>
            <w:vAlign w:val="center"/>
          </w:tcPr>
          <w:p w14:paraId="2F33DF00">
            <w:pPr>
              <w:spacing w:line="400" w:lineRule="exact"/>
              <w:jc w:val="center"/>
              <w:rPr>
                <w:rFonts w:ascii="宋体" w:hAnsi="宋体"/>
                <w:color w:val="auto"/>
                <w:sz w:val="24"/>
                <w:szCs w:val="18"/>
              </w:rPr>
            </w:pPr>
            <w:r>
              <w:rPr>
                <w:rFonts w:hint="eastAsia" w:ascii="宋体" w:hAnsi="宋体"/>
                <w:color w:val="auto"/>
                <w:sz w:val="24"/>
                <w:szCs w:val="18"/>
              </w:rPr>
              <w:t>政治面貌</w:t>
            </w:r>
          </w:p>
        </w:tc>
        <w:tc>
          <w:tcPr>
            <w:tcW w:w="2147" w:type="dxa"/>
            <w:vAlign w:val="center"/>
          </w:tcPr>
          <w:p w14:paraId="2FFB838E">
            <w:pPr>
              <w:spacing w:line="400" w:lineRule="exact"/>
              <w:jc w:val="center"/>
              <w:rPr>
                <w:rFonts w:ascii="宋体" w:hAnsi="宋体"/>
                <w:color w:val="auto"/>
                <w:sz w:val="24"/>
                <w:szCs w:val="18"/>
              </w:rPr>
            </w:pPr>
          </w:p>
        </w:tc>
        <w:tc>
          <w:tcPr>
            <w:tcW w:w="1900" w:type="dxa"/>
            <w:vMerge w:val="continue"/>
            <w:vAlign w:val="center"/>
          </w:tcPr>
          <w:p w14:paraId="618CCD68">
            <w:pPr>
              <w:spacing w:line="400" w:lineRule="exact"/>
              <w:jc w:val="center"/>
              <w:rPr>
                <w:rFonts w:ascii="宋体" w:hAnsi="宋体"/>
                <w:color w:val="auto"/>
                <w:sz w:val="24"/>
                <w:szCs w:val="18"/>
              </w:rPr>
            </w:pPr>
          </w:p>
        </w:tc>
      </w:tr>
      <w:tr w14:paraId="4CA99C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3" w:hRule="atLeast"/>
          <w:jc w:val="center"/>
        </w:trPr>
        <w:tc>
          <w:tcPr>
            <w:tcW w:w="1947" w:type="dxa"/>
            <w:gridSpan w:val="2"/>
            <w:vAlign w:val="center"/>
          </w:tcPr>
          <w:p w14:paraId="2CAF016C">
            <w:pPr>
              <w:spacing w:line="400" w:lineRule="exact"/>
              <w:jc w:val="center"/>
              <w:rPr>
                <w:rFonts w:ascii="宋体" w:hAnsi="宋体"/>
                <w:color w:val="auto"/>
                <w:sz w:val="24"/>
                <w:szCs w:val="18"/>
              </w:rPr>
            </w:pPr>
            <w:r>
              <w:rPr>
                <w:rFonts w:hint="eastAsia" w:ascii="宋体" w:hAnsi="宋体"/>
                <w:color w:val="auto"/>
                <w:sz w:val="24"/>
                <w:szCs w:val="18"/>
              </w:rPr>
              <w:t>毕业院校</w:t>
            </w:r>
          </w:p>
        </w:tc>
        <w:tc>
          <w:tcPr>
            <w:tcW w:w="2137" w:type="dxa"/>
            <w:vAlign w:val="center"/>
          </w:tcPr>
          <w:p w14:paraId="749A0D1B">
            <w:pPr>
              <w:spacing w:line="400" w:lineRule="exact"/>
              <w:jc w:val="center"/>
              <w:rPr>
                <w:rFonts w:ascii="宋体" w:hAnsi="宋体"/>
                <w:color w:val="auto"/>
                <w:sz w:val="24"/>
                <w:szCs w:val="18"/>
              </w:rPr>
            </w:pPr>
          </w:p>
        </w:tc>
        <w:tc>
          <w:tcPr>
            <w:tcW w:w="1255" w:type="dxa"/>
            <w:vAlign w:val="center"/>
          </w:tcPr>
          <w:p w14:paraId="744087FA">
            <w:pPr>
              <w:spacing w:line="400" w:lineRule="exact"/>
              <w:jc w:val="center"/>
              <w:rPr>
                <w:rFonts w:ascii="宋体" w:hAnsi="宋体"/>
                <w:color w:val="auto"/>
                <w:sz w:val="24"/>
                <w:szCs w:val="18"/>
              </w:rPr>
            </w:pPr>
            <w:r>
              <w:rPr>
                <w:rFonts w:hint="eastAsia" w:ascii="宋体" w:hAnsi="宋体"/>
                <w:color w:val="auto"/>
                <w:sz w:val="24"/>
                <w:szCs w:val="18"/>
              </w:rPr>
              <w:t>专业</w:t>
            </w:r>
          </w:p>
        </w:tc>
        <w:tc>
          <w:tcPr>
            <w:tcW w:w="2147" w:type="dxa"/>
            <w:vAlign w:val="center"/>
          </w:tcPr>
          <w:p w14:paraId="150F9EA6">
            <w:pPr>
              <w:spacing w:line="270" w:lineRule="atLeast"/>
              <w:jc w:val="center"/>
              <w:rPr>
                <w:rFonts w:ascii="宋体" w:hAnsi="宋体"/>
                <w:color w:val="auto"/>
                <w:sz w:val="24"/>
                <w:szCs w:val="18"/>
              </w:rPr>
            </w:pPr>
          </w:p>
        </w:tc>
        <w:tc>
          <w:tcPr>
            <w:tcW w:w="1900" w:type="dxa"/>
            <w:vMerge w:val="continue"/>
            <w:vAlign w:val="center"/>
          </w:tcPr>
          <w:p w14:paraId="237ED1C0">
            <w:pPr>
              <w:spacing w:line="400" w:lineRule="exact"/>
              <w:jc w:val="center"/>
              <w:rPr>
                <w:rFonts w:ascii="宋体" w:hAnsi="宋体"/>
                <w:color w:val="auto"/>
                <w:sz w:val="24"/>
                <w:szCs w:val="18"/>
              </w:rPr>
            </w:pPr>
          </w:p>
        </w:tc>
      </w:tr>
      <w:tr w14:paraId="3B1903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947" w:type="dxa"/>
            <w:gridSpan w:val="2"/>
            <w:vAlign w:val="center"/>
          </w:tcPr>
          <w:p w14:paraId="188B8028">
            <w:pPr>
              <w:spacing w:line="400" w:lineRule="exact"/>
              <w:jc w:val="center"/>
              <w:rPr>
                <w:rFonts w:ascii="宋体" w:hAnsi="宋体"/>
                <w:color w:val="auto"/>
                <w:sz w:val="24"/>
                <w:szCs w:val="18"/>
              </w:rPr>
            </w:pPr>
            <w:r>
              <w:rPr>
                <w:rFonts w:hint="eastAsia" w:ascii="宋体" w:hAnsi="宋体"/>
                <w:color w:val="auto"/>
                <w:sz w:val="24"/>
                <w:szCs w:val="18"/>
              </w:rPr>
              <w:t>学历</w:t>
            </w:r>
            <w:r>
              <w:rPr>
                <w:rFonts w:hint="eastAsia" w:ascii="宋体" w:hAnsi="宋体"/>
                <w:b/>
                <w:color w:val="auto"/>
                <w:sz w:val="24"/>
                <w:szCs w:val="18"/>
              </w:rPr>
              <w:t>/</w:t>
            </w:r>
            <w:r>
              <w:rPr>
                <w:rFonts w:hint="eastAsia" w:ascii="宋体" w:hAnsi="宋体"/>
                <w:color w:val="auto"/>
                <w:sz w:val="24"/>
                <w:szCs w:val="18"/>
              </w:rPr>
              <w:t>学位</w:t>
            </w:r>
          </w:p>
        </w:tc>
        <w:tc>
          <w:tcPr>
            <w:tcW w:w="2137" w:type="dxa"/>
            <w:vAlign w:val="center"/>
          </w:tcPr>
          <w:p w14:paraId="771E932C">
            <w:pPr>
              <w:spacing w:line="400" w:lineRule="exact"/>
              <w:jc w:val="center"/>
              <w:rPr>
                <w:rFonts w:ascii="宋体" w:hAnsi="宋体"/>
                <w:color w:val="auto"/>
                <w:sz w:val="24"/>
                <w:szCs w:val="18"/>
              </w:rPr>
            </w:pPr>
          </w:p>
        </w:tc>
        <w:tc>
          <w:tcPr>
            <w:tcW w:w="1255" w:type="dxa"/>
            <w:vAlign w:val="center"/>
          </w:tcPr>
          <w:p w14:paraId="421195C0">
            <w:pPr>
              <w:spacing w:line="400" w:lineRule="exact"/>
              <w:jc w:val="center"/>
              <w:rPr>
                <w:rFonts w:ascii="宋体" w:hAnsi="宋体"/>
                <w:color w:val="auto"/>
                <w:sz w:val="24"/>
                <w:szCs w:val="18"/>
              </w:rPr>
            </w:pPr>
            <w:r>
              <w:rPr>
                <w:rFonts w:hint="eastAsia" w:ascii="宋体" w:hAnsi="宋体"/>
                <w:color w:val="auto"/>
                <w:sz w:val="24"/>
                <w:szCs w:val="18"/>
              </w:rPr>
              <w:t>毕业时间</w:t>
            </w:r>
          </w:p>
        </w:tc>
        <w:tc>
          <w:tcPr>
            <w:tcW w:w="2147" w:type="dxa"/>
            <w:vAlign w:val="center"/>
          </w:tcPr>
          <w:p w14:paraId="7C7F63AA">
            <w:pPr>
              <w:spacing w:line="400" w:lineRule="exact"/>
              <w:jc w:val="center"/>
              <w:rPr>
                <w:rFonts w:ascii="宋体" w:hAnsi="宋体"/>
                <w:color w:val="auto"/>
                <w:sz w:val="24"/>
                <w:szCs w:val="18"/>
              </w:rPr>
            </w:pPr>
          </w:p>
        </w:tc>
        <w:tc>
          <w:tcPr>
            <w:tcW w:w="1900" w:type="dxa"/>
            <w:vMerge w:val="continue"/>
            <w:tcBorders>
              <w:bottom w:val="single" w:color="auto" w:sz="4" w:space="0"/>
            </w:tcBorders>
            <w:vAlign w:val="center"/>
          </w:tcPr>
          <w:p w14:paraId="31B4EE68">
            <w:pPr>
              <w:spacing w:line="400" w:lineRule="exact"/>
              <w:jc w:val="center"/>
              <w:rPr>
                <w:rFonts w:ascii="宋体" w:hAnsi="宋体"/>
                <w:color w:val="auto"/>
                <w:sz w:val="24"/>
                <w:szCs w:val="18"/>
              </w:rPr>
            </w:pPr>
          </w:p>
        </w:tc>
      </w:tr>
      <w:tr w14:paraId="451A0B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4" w:hRule="atLeast"/>
          <w:jc w:val="center"/>
        </w:trPr>
        <w:tc>
          <w:tcPr>
            <w:tcW w:w="1947" w:type="dxa"/>
            <w:gridSpan w:val="2"/>
            <w:vAlign w:val="center"/>
          </w:tcPr>
          <w:p w14:paraId="0BCACB5E">
            <w:pPr>
              <w:spacing w:line="400" w:lineRule="exact"/>
              <w:jc w:val="center"/>
              <w:rPr>
                <w:rFonts w:ascii="宋体" w:hAnsi="宋体"/>
                <w:color w:val="auto"/>
                <w:sz w:val="24"/>
                <w:szCs w:val="18"/>
              </w:rPr>
            </w:pPr>
            <w:r>
              <w:rPr>
                <w:rFonts w:hint="eastAsia" w:ascii="宋体" w:hAnsi="宋体"/>
                <w:color w:val="auto"/>
                <w:sz w:val="24"/>
                <w:szCs w:val="18"/>
              </w:rPr>
              <w:t>见习时间</w:t>
            </w:r>
          </w:p>
        </w:tc>
        <w:tc>
          <w:tcPr>
            <w:tcW w:w="7439" w:type="dxa"/>
            <w:gridSpan w:val="4"/>
            <w:vAlign w:val="center"/>
          </w:tcPr>
          <w:p w14:paraId="3EA1A23A">
            <w:pPr>
              <w:spacing w:line="400" w:lineRule="exact"/>
              <w:jc w:val="center"/>
              <w:rPr>
                <w:rFonts w:ascii="宋体" w:hAnsi="宋体"/>
                <w:color w:val="auto"/>
                <w:sz w:val="24"/>
                <w:szCs w:val="18"/>
              </w:rPr>
            </w:pPr>
          </w:p>
        </w:tc>
      </w:tr>
      <w:tr w14:paraId="0D37E5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23" w:hRule="atLeast"/>
          <w:jc w:val="center"/>
        </w:trPr>
        <w:tc>
          <w:tcPr>
            <w:tcW w:w="831" w:type="dxa"/>
            <w:tcBorders>
              <w:right w:val="single" w:color="auto" w:sz="4" w:space="0"/>
            </w:tcBorders>
            <w:vAlign w:val="center"/>
          </w:tcPr>
          <w:p w14:paraId="7CB7DE8F">
            <w:pPr>
              <w:spacing w:line="400" w:lineRule="exact"/>
              <w:jc w:val="center"/>
              <w:rPr>
                <w:rFonts w:ascii="宋体" w:hAnsi="宋体"/>
                <w:color w:val="auto"/>
                <w:sz w:val="24"/>
                <w:szCs w:val="18"/>
              </w:rPr>
            </w:pPr>
            <w:r>
              <w:rPr>
                <w:rFonts w:hint="eastAsia" w:ascii="宋体" w:hAnsi="宋体"/>
                <w:color w:val="auto"/>
                <w:sz w:val="24"/>
                <w:szCs w:val="18"/>
              </w:rPr>
              <w:t>见习期满自我鉴定</w:t>
            </w:r>
          </w:p>
        </w:tc>
        <w:tc>
          <w:tcPr>
            <w:tcW w:w="8555" w:type="dxa"/>
            <w:gridSpan w:val="5"/>
            <w:tcBorders>
              <w:left w:val="single" w:color="auto" w:sz="4" w:space="0"/>
            </w:tcBorders>
            <w:vAlign w:val="center"/>
          </w:tcPr>
          <w:p w14:paraId="2ADC08C9">
            <w:pPr>
              <w:autoSpaceDE w:val="0"/>
              <w:autoSpaceDN w:val="0"/>
              <w:adjustRightInd w:val="0"/>
              <w:ind w:firstLine="472" w:firstLineChars="200"/>
              <w:jc w:val="left"/>
              <w:rPr>
                <w:rFonts w:ascii="宋体" w:hAnsi="宋体"/>
                <w:color w:val="auto"/>
                <w:sz w:val="24"/>
                <w:szCs w:val="18"/>
              </w:rPr>
            </w:pPr>
          </w:p>
          <w:p w14:paraId="141183BA">
            <w:pPr>
              <w:autoSpaceDE w:val="0"/>
              <w:autoSpaceDN w:val="0"/>
              <w:adjustRightInd w:val="0"/>
              <w:ind w:firstLine="472" w:firstLineChars="200"/>
              <w:jc w:val="left"/>
              <w:rPr>
                <w:rFonts w:ascii="宋体" w:hAnsi="宋体"/>
                <w:color w:val="auto"/>
                <w:sz w:val="24"/>
                <w:szCs w:val="18"/>
              </w:rPr>
            </w:pPr>
          </w:p>
          <w:p w14:paraId="27021C1A">
            <w:pPr>
              <w:spacing w:line="400" w:lineRule="exact"/>
              <w:ind w:firstLine="4484" w:firstLineChars="1900"/>
              <w:rPr>
                <w:rFonts w:ascii="宋体" w:hAnsi="宋体"/>
                <w:color w:val="auto"/>
                <w:sz w:val="24"/>
                <w:szCs w:val="18"/>
              </w:rPr>
            </w:pPr>
            <w:r>
              <w:rPr>
                <w:rFonts w:hint="eastAsia" w:ascii="宋体" w:hAnsi="宋体"/>
                <w:color w:val="auto"/>
                <w:sz w:val="24"/>
                <w:szCs w:val="18"/>
              </w:rPr>
              <w:t xml:space="preserve"> 见习人员签名：</w:t>
            </w:r>
          </w:p>
          <w:p w14:paraId="7DF06322">
            <w:pPr>
              <w:spacing w:line="400" w:lineRule="exact"/>
              <w:jc w:val="center"/>
              <w:rPr>
                <w:rFonts w:ascii="宋体" w:hAnsi="宋体"/>
                <w:color w:val="auto"/>
                <w:sz w:val="24"/>
                <w:szCs w:val="18"/>
              </w:rPr>
            </w:pPr>
            <w:r>
              <w:rPr>
                <w:rFonts w:hint="eastAsia" w:ascii="宋体" w:hAnsi="宋体"/>
                <w:color w:val="auto"/>
                <w:sz w:val="24"/>
                <w:szCs w:val="18"/>
              </w:rPr>
              <w:t xml:space="preserve">                                 年   月   日</w:t>
            </w:r>
          </w:p>
        </w:tc>
      </w:tr>
      <w:tr w14:paraId="27A9BE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964" w:hRule="atLeast"/>
          <w:jc w:val="center"/>
        </w:trPr>
        <w:tc>
          <w:tcPr>
            <w:tcW w:w="831" w:type="dxa"/>
            <w:tcBorders>
              <w:right w:val="single" w:color="auto" w:sz="4" w:space="0"/>
            </w:tcBorders>
            <w:vAlign w:val="center"/>
          </w:tcPr>
          <w:p w14:paraId="439CDEFA">
            <w:pPr>
              <w:spacing w:line="400" w:lineRule="exact"/>
              <w:jc w:val="center"/>
              <w:rPr>
                <w:rFonts w:ascii="宋体" w:hAnsi="宋体"/>
                <w:color w:val="auto"/>
                <w:sz w:val="24"/>
                <w:szCs w:val="18"/>
              </w:rPr>
            </w:pPr>
            <w:r>
              <w:rPr>
                <w:rFonts w:hint="eastAsia" w:ascii="宋体" w:hAnsi="宋体"/>
                <w:color w:val="auto"/>
                <w:sz w:val="24"/>
                <w:szCs w:val="18"/>
              </w:rPr>
              <w:t>见习人员带教老师意见</w:t>
            </w:r>
          </w:p>
        </w:tc>
        <w:tc>
          <w:tcPr>
            <w:tcW w:w="8555" w:type="dxa"/>
            <w:gridSpan w:val="5"/>
            <w:tcBorders>
              <w:left w:val="single" w:color="auto" w:sz="4" w:space="0"/>
            </w:tcBorders>
            <w:vAlign w:val="center"/>
          </w:tcPr>
          <w:p w14:paraId="5C9E9A2E">
            <w:pPr>
              <w:spacing w:line="400" w:lineRule="exact"/>
              <w:jc w:val="left"/>
              <w:rPr>
                <w:rFonts w:ascii="宋体" w:hAnsi="宋体"/>
                <w:color w:val="auto"/>
                <w:sz w:val="24"/>
                <w:szCs w:val="18"/>
              </w:rPr>
            </w:pPr>
          </w:p>
          <w:p w14:paraId="33128022">
            <w:pPr>
              <w:spacing w:line="400" w:lineRule="exact"/>
              <w:jc w:val="left"/>
              <w:rPr>
                <w:rFonts w:ascii="宋体" w:hAnsi="宋体"/>
                <w:color w:val="auto"/>
                <w:sz w:val="24"/>
                <w:szCs w:val="18"/>
              </w:rPr>
            </w:pPr>
          </w:p>
          <w:p w14:paraId="66651991">
            <w:pPr>
              <w:spacing w:line="400" w:lineRule="exact"/>
              <w:ind w:firstLine="4720" w:firstLineChars="2000"/>
              <w:rPr>
                <w:rFonts w:ascii="宋体" w:hAnsi="宋体"/>
                <w:color w:val="auto"/>
                <w:sz w:val="24"/>
                <w:szCs w:val="18"/>
              </w:rPr>
            </w:pPr>
          </w:p>
          <w:p w14:paraId="5BF57641">
            <w:pPr>
              <w:spacing w:line="400" w:lineRule="exact"/>
              <w:ind w:firstLine="4720" w:firstLineChars="2000"/>
              <w:rPr>
                <w:rFonts w:ascii="宋体" w:hAnsi="宋体"/>
                <w:color w:val="auto"/>
                <w:sz w:val="24"/>
                <w:szCs w:val="18"/>
              </w:rPr>
            </w:pPr>
            <w:r>
              <w:rPr>
                <w:rFonts w:hint="eastAsia" w:ascii="宋体" w:hAnsi="宋体"/>
                <w:color w:val="auto"/>
                <w:sz w:val="24"/>
                <w:szCs w:val="18"/>
              </w:rPr>
              <w:t>签 名：</w:t>
            </w:r>
          </w:p>
          <w:p w14:paraId="12713DBC">
            <w:pPr>
              <w:spacing w:line="400" w:lineRule="exact"/>
              <w:jc w:val="center"/>
              <w:rPr>
                <w:rFonts w:ascii="宋体" w:hAnsi="宋体"/>
                <w:color w:val="auto"/>
                <w:sz w:val="24"/>
                <w:szCs w:val="18"/>
              </w:rPr>
            </w:pPr>
            <w:r>
              <w:rPr>
                <w:rFonts w:hint="eastAsia" w:ascii="宋体" w:hAnsi="宋体"/>
                <w:color w:val="auto"/>
                <w:sz w:val="24"/>
                <w:szCs w:val="18"/>
              </w:rPr>
              <w:t xml:space="preserve">                                  年    月    日</w:t>
            </w:r>
          </w:p>
        </w:tc>
      </w:tr>
      <w:tr w14:paraId="414B01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809" w:hRule="atLeast"/>
          <w:jc w:val="center"/>
        </w:trPr>
        <w:tc>
          <w:tcPr>
            <w:tcW w:w="831" w:type="dxa"/>
            <w:tcBorders>
              <w:left w:val="single" w:color="auto" w:sz="12" w:space="0"/>
              <w:bottom w:val="single" w:color="auto" w:sz="12" w:space="0"/>
              <w:right w:val="single" w:color="auto" w:sz="4" w:space="0"/>
            </w:tcBorders>
            <w:vAlign w:val="center"/>
          </w:tcPr>
          <w:p w14:paraId="1E03F65B">
            <w:pPr>
              <w:spacing w:line="400" w:lineRule="exact"/>
              <w:jc w:val="center"/>
              <w:rPr>
                <w:rFonts w:ascii="宋体" w:hAnsi="宋体"/>
                <w:color w:val="auto"/>
                <w:sz w:val="24"/>
                <w:szCs w:val="18"/>
              </w:rPr>
            </w:pPr>
            <w:r>
              <w:rPr>
                <w:rFonts w:hint="eastAsia" w:ascii="宋体" w:hAnsi="宋体"/>
                <w:color w:val="auto"/>
                <w:sz w:val="24"/>
                <w:szCs w:val="18"/>
              </w:rPr>
              <w:t>见习单位考核鉴定</w:t>
            </w:r>
          </w:p>
        </w:tc>
        <w:tc>
          <w:tcPr>
            <w:tcW w:w="8555" w:type="dxa"/>
            <w:gridSpan w:val="5"/>
            <w:tcBorders>
              <w:left w:val="single" w:color="auto" w:sz="4" w:space="0"/>
              <w:bottom w:val="single" w:color="auto" w:sz="12" w:space="0"/>
            </w:tcBorders>
            <w:vAlign w:val="center"/>
          </w:tcPr>
          <w:p w14:paraId="39CFD538">
            <w:pPr>
              <w:spacing w:line="400" w:lineRule="exact"/>
              <w:jc w:val="left"/>
              <w:rPr>
                <w:rFonts w:ascii="宋体" w:hAnsi="宋体"/>
                <w:color w:val="auto"/>
                <w:sz w:val="24"/>
                <w:szCs w:val="18"/>
              </w:rPr>
            </w:pPr>
          </w:p>
          <w:p w14:paraId="1412FC48">
            <w:pPr>
              <w:spacing w:line="400" w:lineRule="exact"/>
              <w:jc w:val="left"/>
              <w:rPr>
                <w:rFonts w:ascii="宋体" w:hAnsi="宋体"/>
                <w:color w:val="auto"/>
                <w:sz w:val="24"/>
                <w:szCs w:val="18"/>
              </w:rPr>
            </w:pPr>
          </w:p>
          <w:p w14:paraId="26359645">
            <w:pPr>
              <w:spacing w:line="400" w:lineRule="exact"/>
              <w:ind w:firstLine="4838" w:firstLineChars="2050"/>
              <w:jc w:val="left"/>
              <w:rPr>
                <w:rFonts w:ascii="宋体" w:hAnsi="宋体"/>
                <w:color w:val="auto"/>
                <w:sz w:val="24"/>
                <w:szCs w:val="18"/>
              </w:rPr>
            </w:pPr>
            <w:r>
              <w:rPr>
                <w:rFonts w:hint="eastAsia" w:ascii="宋体" w:hAnsi="宋体"/>
                <w:color w:val="auto"/>
                <w:sz w:val="24"/>
                <w:szCs w:val="18"/>
              </w:rPr>
              <w:t xml:space="preserve">签 章：         </w:t>
            </w:r>
          </w:p>
          <w:p w14:paraId="45AC1554">
            <w:pPr>
              <w:spacing w:line="400" w:lineRule="exact"/>
              <w:jc w:val="center"/>
              <w:rPr>
                <w:rFonts w:ascii="宋体" w:hAnsi="宋体"/>
                <w:color w:val="auto"/>
                <w:sz w:val="24"/>
                <w:szCs w:val="18"/>
              </w:rPr>
            </w:pPr>
            <w:r>
              <w:rPr>
                <w:rFonts w:hint="eastAsia" w:ascii="宋体" w:hAnsi="宋体"/>
                <w:color w:val="auto"/>
                <w:sz w:val="24"/>
                <w:szCs w:val="18"/>
              </w:rPr>
              <w:t xml:space="preserve">                                      年     月     日</w:t>
            </w:r>
          </w:p>
        </w:tc>
      </w:tr>
    </w:tbl>
    <w:p w14:paraId="5DED34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kern w:val="0"/>
          <w:sz w:val="32"/>
          <w:szCs w:val="32"/>
        </w:rPr>
        <w:br w:type="page"/>
      </w:r>
      <w:r>
        <w:rPr>
          <w:rFonts w:hint="eastAsia" w:ascii="黑体" w:hAnsi="黑体" w:eastAsia="黑体" w:cs="黑体"/>
          <w:color w:val="auto"/>
          <w:sz w:val="32"/>
          <w:szCs w:val="32"/>
        </w:rPr>
        <w:t>附件3</w:t>
      </w:r>
    </w:p>
    <w:p w14:paraId="0E26897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38EE2732">
      <w:pPr>
        <w:keepNext w:val="0"/>
        <w:keepLines w:val="0"/>
        <w:pageBreakBefore w:val="0"/>
        <w:widowControl w:val="0"/>
        <w:tabs>
          <w:tab w:val="center" w:pos="4479"/>
        </w:tabs>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山东省见习单位申报表</w:t>
      </w:r>
    </w:p>
    <w:p w14:paraId="1B007888">
      <w:pPr>
        <w:keepNext w:val="0"/>
        <w:keepLines w:val="0"/>
        <w:pageBreakBefore w:val="0"/>
        <w:widowControl w:val="0"/>
        <w:tabs>
          <w:tab w:val="center" w:pos="4479"/>
        </w:tabs>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olor w:val="auto"/>
          <w:sz w:val="10"/>
          <w:szCs w:val="10"/>
        </w:rPr>
      </w:pPr>
    </w:p>
    <w:tbl>
      <w:tblPr>
        <w:tblStyle w:val="14"/>
        <w:tblW w:w="927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2383"/>
        <w:gridCol w:w="1577"/>
        <w:gridCol w:w="1580"/>
        <w:gridCol w:w="1758"/>
      </w:tblGrid>
      <w:tr w14:paraId="4B95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81" w:type="dxa"/>
            <w:vAlign w:val="center"/>
          </w:tcPr>
          <w:p w14:paraId="667E7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宋体"/>
                <w:color w:val="auto"/>
                <w:sz w:val="24"/>
                <w:szCs w:val="24"/>
              </w:rPr>
            </w:pPr>
            <w:r>
              <w:rPr>
                <w:rFonts w:hint="eastAsia" w:ascii="仿宋_GB2312"/>
                <w:color w:val="auto"/>
                <w:sz w:val="24"/>
                <w:szCs w:val="24"/>
              </w:rPr>
              <w:t>申报单位名称（盖章）</w:t>
            </w:r>
          </w:p>
        </w:tc>
        <w:tc>
          <w:tcPr>
            <w:tcW w:w="7298" w:type="dxa"/>
            <w:gridSpan w:val="4"/>
            <w:vAlign w:val="center"/>
          </w:tcPr>
          <w:p w14:paraId="32F61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r>
      <w:tr w14:paraId="3DDF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81" w:type="dxa"/>
            <w:vAlign w:val="center"/>
          </w:tcPr>
          <w:p w14:paraId="46E9B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统一社会信用</w:t>
            </w:r>
          </w:p>
          <w:p w14:paraId="18AEBA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代码</w:t>
            </w:r>
          </w:p>
        </w:tc>
        <w:tc>
          <w:tcPr>
            <w:tcW w:w="3960" w:type="dxa"/>
            <w:gridSpan w:val="2"/>
            <w:vAlign w:val="center"/>
          </w:tcPr>
          <w:p w14:paraId="527811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c>
          <w:tcPr>
            <w:tcW w:w="1580" w:type="dxa"/>
            <w:vAlign w:val="center"/>
          </w:tcPr>
          <w:p w14:paraId="36919A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单位性质</w:t>
            </w:r>
          </w:p>
        </w:tc>
        <w:tc>
          <w:tcPr>
            <w:tcW w:w="1758" w:type="dxa"/>
            <w:vAlign w:val="center"/>
          </w:tcPr>
          <w:p w14:paraId="59B557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r>
      <w:tr w14:paraId="3339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81" w:type="dxa"/>
            <w:vAlign w:val="center"/>
          </w:tcPr>
          <w:p w14:paraId="63434B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单位地址</w:t>
            </w:r>
          </w:p>
        </w:tc>
        <w:tc>
          <w:tcPr>
            <w:tcW w:w="7298" w:type="dxa"/>
            <w:gridSpan w:val="4"/>
            <w:vAlign w:val="center"/>
          </w:tcPr>
          <w:p w14:paraId="10D21E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r>
      <w:tr w14:paraId="639A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981" w:type="dxa"/>
            <w:vAlign w:val="center"/>
          </w:tcPr>
          <w:p w14:paraId="3B699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联系人姓名</w:t>
            </w:r>
          </w:p>
        </w:tc>
        <w:tc>
          <w:tcPr>
            <w:tcW w:w="2383" w:type="dxa"/>
            <w:vAlign w:val="center"/>
          </w:tcPr>
          <w:p w14:paraId="47399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工作部门和职务</w:t>
            </w:r>
          </w:p>
        </w:tc>
        <w:tc>
          <w:tcPr>
            <w:tcW w:w="4915" w:type="dxa"/>
            <w:gridSpan w:val="3"/>
            <w:vAlign w:val="center"/>
          </w:tcPr>
          <w:p w14:paraId="65AB8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联系电话</w:t>
            </w:r>
          </w:p>
        </w:tc>
      </w:tr>
      <w:tr w14:paraId="286A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981" w:type="dxa"/>
            <w:vAlign w:val="center"/>
          </w:tcPr>
          <w:p w14:paraId="667B1B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c>
          <w:tcPr>
            <w:tcW w:w="2383" w:type="dxa"/>
            <w:vAlign w:val="center"/>
          </w:tcPr>
          <w:p w14:paraId="545F3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c>
          <w:tcPr>
            <w:tcW w:w="4915" w:type="dxa"/>
            <w:gridSpan w:val="3"/>
            <w:vAlign w:val="center"/>
          </w:tcPr>
          <w:p w14:paraId="555E2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tc>
      </w:tr>
      <w:tr w14:paraId="0E2C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981" w:type="dxa"/>
            <w:vAlign w:val="center"/>
          </w:tcPr>
          <w:p w14:paraId="06FA9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单位简介</w:t>
            </w:r>
          </w:p>
        </w:tc>
        <w:tc>
          <w:tcPr>
            <w:tcW w:w="7298" w:type="dxa"/>
            <w:gridSpan w:val="4"/>
            <w:vAlign w:val="center"/>
          </w:tcPr>
          <w:p w14:paraId="139A6C00">
            <w:pPr>
              <w:keepNext w:val="0"/>
              <w:keepLines w:val="0"/>
              <w:pageBreakBefore w:val="0"/>
              <w:widowControl w:val="0"/>
              <w:kinsoku/>
              <w:wordWrap/>
              <w:overflowPunct/>
              <w:topLinePunct w:val="0"/>
              <w:autoSpaceDE/>
              <w:autoSpaceDN/>
              <w:bidi w:val="0"/>
              <w:adjustRightInd/>
              <w:snapToGrid/>
              <w:spacing w:line="400" w:lineRule="exact"/>
              <w:ind w:firstLine="4857" w:firstLineChars="2058"/>
              <w:textAlignment w:val="auto"/>
              <w:rPr>
                <w:rFonts w:ascii="仿宋_GB2312"/>
                <w:b/>
                <w:bCs/>
                <w:color w:val="auto"/>
                <w:sz w:val="24"/>
                <w:szCs w:val="24"/>
              </w:rPr>
            </w:pPr>
          </w:p>
          <w:p w14:paraId="17098322">
            <w:pPr>
              <w:keepNext w:val="0"/>
              <w:keepLines w:val="0"/>
              <w:pageBreakBefore w:val="0"/>
              <w:widowControl w:val="0"/>
              <w:kinsoku/>
              <w:wordWrap/>
              <w:overflowPunct/>
              <w:topLinePunct w:val="0"/>
              <w:autoSpaceDE/>
              <w:autoSpaceDN/>
              <w:bidi w:val="0"/>
              <w:adjustRightInd/>
              <w:snapToGrid/>
              <w:spacing w:line="400" w:lineRule="exact"/>
              <w:ind w:firstLine="4857" w:firstLineChars="2058"/>
              <w:textAlignment w:val="auto"/>
              <w:rPr>
                <w:rFonts w:ascii="仿宋_GB2312"/>
                <w:b/>
                <w:bCs/>
                <w:color w:val="auto"/>
                <w:sz w:val="24"/>
                <w:szCs w:val="24"/>
              </w:rPr>
            </w:pPr>
          </w:p>
          <w:p w14:paraId="3E3A454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b/>
                <w:bCs/>
                <w:color w:val="auto"/>
                <w:sz w:val="24"/>
                <w:szCs w:val="24"/>
              </w:rPr>
            </w:pPr>
          </w:p>
          <w:p w14:paraId="6A214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 xml:space="preserve">                                                 </w:t>
            </w:r>
          </w:p>
          <w:p w14:paraId="04969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p>
          <w:p w14:paraId="5E693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 xml:space="preserve">                                              （100字之内）</w:t>
            </w:r>
          </w:p>
        </w:tc>
      </w:tr>
      <w:tr w14:paraId="082B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1981" w:type="dxa"/>
            <w:vAlign w:val="center"/>
          </w:tcPr>
          <w:p w14:paraId="62CDC7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见习人员专业</w:t>
            </w:r>
          </w:p>
          <w:p w14:paraId="1F63F9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color w:val="auto"/>
                <w:sz w:val="24"/>
                <w:szCs w:val="24"/>
              </w:rPr>
            </w:pPr>
            <w:r>
              <w:rPr>
                <w:rFonts w:hint="eastAsia" w:ascii="仿宋_GB2312"/>
                <w:color w:val="auto"/>
                <w:sz w:val="24"/>
                <w:szCs w:val="24"/>
              </w:rPr>
              <w:t>及人数需求</w:t>
            </w:r>
          </w:p>
        </w:tc>
        <w:tc>
          <w:tcPr>
            <w:tcW w:w="7298" w:type="dxa"/>
            <w:gridSpan w:val="4"/>
            <w:vAlign w:val="center"/>
          </w:tcPr>
          <w:p w14:paraId="140F3E41">
            <w:pPr>
              <w:keepNext w:val="0"/>
              <w:keepLines w:val="0"/>
              <w:pageBreakBefore w:val="0"/>
              <w:widowControl w:val="0"/>
              <w:kinsoku/>
              <w:wordWrap/>
              <w:overflowPunct/>
              <w:topLinePunct w:val="0"/>
              <w:autoSpaceDE/>
              <w:autoSpaceDN/>
              <w:bidi w:val="0"/>
              <w:adjustRightInd/>
              <w:snapToGrid/>
              <w:spacing w:line="400" w:lineRule="exact"/>
              <w:ind w:firstLine="4857" w:firstLineChars="2058"/>
              <w:textAlignment w:val="auto"/>
              <w:rPr>
                <w:rFonts w:ascii="仿宋_GB2312"/>
                <w:b/>
                <w:bCs/>
                <w:color w:val="auto"/>
                <w:sz w:val="24"/>
                <w:szCs w:val="24"/>
              </w:rPr>
            </w:pPr>
          </w:p>
          <w:p w14:paraId="58D67349">
            <w:pPr>
              <w:keepNext w:val="0"/>
              <w:keepLines w:val="0"/>
              <w:pageBreakBefore w:val="0"/>
              <w:widowControl w:val="0"/>
              <w:kinsoku/>
              <w:wordWrap/>
              <w:overflowPunct/>
              <w:topLinePunct w:val="0"/>
              <w:autoSpaceDE/>
              <w:autoSpaceDN/>
              <w:bidi w:val="0"/>
              <w:adjustRightInd/>
              <w:snapToGrid/>
              <w:spacing w:line="400" w:lineRule="exact"/>
              <w:ind w:firstLine="4857" w:firstLineChars="2058"/>
              <w:textAlignment w:val="auto"/>
              <w:rPr>
                <w:rFonts w:ascii="仿宋_GB2312"/>
                <w:b/>
                <w:bCs/>
                <w:color w:val="auto"/>
                <w:sz w:val="24"/>
                <w:szCs w:val="24"/>
              </w:rPr>
            </w:pPr>
          </w:p>
          <w:p w14:paraId="47091536">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b/>
                <w:bCs/>
                <w:color w:val="auto"/>
                <w:sz w:val="24"/>
                <w:szCs w:val="24"/>
              </w:rPr>
            </w:pPr>
          </w:p>
        </w:tc>
      </w:tr>
    </w:tbl>
    <w:p w14:paraId="1165EAA1">
      <w:pPr>
        <w:rPr>
          <w:rFonts w:ascii="黑体" w:hAnsi="黑体" w:eastAsia="黑体" w:cs="仿宋_GB2312"/>
          <w:color w:val="auto"/>
          <w:sz w:val="32"/>
          <w:szCs w:val="32"/>
        </w:rPr>
      </w:pPr>
      <w:r>
        <w:rPr>
          <w:rFonts w:hint="eastAsia" w:ascii="仿宋_GB2312" w:hAnsi="仿宋_GB2312" w:eastAsia="仿宋_GB2312" w:cs="仿宋_GB2312"/>
          <w:color w:val="auto"/>
          <w:kern w:val="0"/>
          <w:sz w:val="32"/>
          <w:szCs w:val="32"/>
        </w:rPr>
        <w:br w:type="page"/>
      </w:r>
      <w:r>
        <w:rPr>
          <w:rFonts w:hint="eastAsia" w:ascii="黑体" w:hAnsi="黑体" w:eastAsia="黑体" w:cs="仿宋_GB2312"/>
          <w:color w:val="auto"/>
          <w:sz w:val="32"/>
          <w:szCs w:val="32"/>
        </w:rPr>
        <w:t>附件4</w:t>
      </w:r>
    </w:p>
    <w:p w14:paraId="49B09ABA">
      <w:pPr>
        <w:rPr>
          <w:rFonts w:ascii="黑体" w:hAnsi="黑体" w:eastAsia="黑体" w:cs="仿宋_GB2312"/>
          <w:color w:val="auto"/>
          <w:sz w:val="32"/>
          <w:szCs w:val="32"/>
        </w:rPr>
      </w:pPr>
    </w:p>
    <w:p w14:paraId="7D778776">
      <w:pPr>
        <w:spacing w:line="580" w:lineRule="exact"/>
        <w:jc w:val="center"/>
        <w:rPr>
          <w:rFonts w:ascii="楷体_GB2312" w:hAnsi="楷体" w:eastAsia="楷体_GB2312"/>
          <w:color w:val="auto"/>
          <w:sz w:val="32"/>
          <w:szCs w:val="32"/>
        </w:rPr>
      </w:pPr>
      <w:r>
        <w:rPr>
          <w:rFonts w:hint="eastAsia" w:ascii="方正小标宋简体" w:hAnsi="黑体" w:eastAsia="方正小标宋简体"/>
          <w:color w:val="auto"/>
          <w:sz w:val="44"/>
          <w:szCs w:val="44"/>
        </w:rPr>
        <w:t>山东省就业见习终止证明</w:t>
      </w:r>
    </w:p>
    <w:p w14:paraId="46C77448">
      <w:pPr>
        <w:rPr>
          <w:rFonts w:ascii="仿宋_GB2312" w:hAnsi="宋体" w:eastAsia="仿宋_GB2312"/>
          <w:color w:val="auto"/>
          <w:u w:val="single"/>
        </w:rPr>
      </w:pPr>
    </w:p>
    <w:p w14:paraId="74E89F60">
      <w:pPr>
        <w:rPr>
          <w:rFonts w:ascii="仿宋_GB2312" w:hAnsi="宋体" w:eastAsia="仿宋_GB2312"/>
          <w:color w:val="auto"/>
          <w:sz w:val="32"/>
          <w:szCs w:val="32"/>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w:t>
      </w:r>
    </w:p>
    <w:p w14:paraId="65C6579E">
      <w:pPr>
        <w:tabs>
          <w:tab w:val="left" w:pos="2361"/>
        </w:tabs>
        <w:ind w:firstLine="632"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我单位见习人员</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（身份证号：</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）见习期限从</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 xml:space="preserve">月 </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日至</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 xml:space="preserve">月 </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日止。由于（□个人原因终止见习</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□见习期内提前签订劳动合同□ 见习期满签订劳动合同 □见习期满离开本单位）已于</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月</w:t>
      </w:r>
    </w:p>
    <w:p w14:paraId="7DE0B4E8">
      <w:pPr>
        <w:tabs>
          <w:tab w:val="left" w:pos="2361"/>
        </w:tabs>
        <w:rPr>
          <w:rFonts w:ascii="仿宋_GB2312" w:hAnsi="宋体" w:eastAsia="仿宋_GB2312"/>
          <w:color w:val="auto"/>
          <w:sz w:val="32"/>
          <w:szCs w:val="32"/>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日与我单位终止见习协议。</w:t>
      </w:r>
    </w:p>
    <w:p w14:paraId="4CD0AB4C">
      <w:pPr>
        <w:tabs>
          <w:tab w:val="left" w:pos="2361"/>
        </w:tabs>
        <w:rPr>
          <w:rFonts w:ascii="仿宋_GB2312" w:hAnsi="宋体" w:eastAsia="仿宋_GB2312"/>
          <w:color w:val="auto"/>
          <w:sz w:val="32"/>
          <w:szCs w:val="32"/>
        </w:rPr>
      </w:pPr>
    </w:p>
    <w:p w14:paraId="108CE22A">
      <w:pPr>
        <w:tabs>
          <w:tab w:val="left" w:pos="2361"/>
        </w:tabs>
        <w:rPr>
          <w:rFonts w:ascii="仿宋_GB2312" w:hAnsi="宋体" w:eastAsia="仿宋_GB2312"/>
          <w:color w:val="auto"/>
          <w:sz w:val="32"/>
          <w:szCs w:val="32"/>
        </w:rPr>
      </w:pPr>
    </w:p>
    <w:p w14:paraId="0E468621">
      <w:pPr>
        <w:tabs>
          <w:tab w:val="left" w:pos="2361"/>
        </w:tabs>
        <w:rPr>
          <w:rFonts w:ascii="仿宋_GB2312" w:hAnsi="宋体" w:eastAsia="仿宋_GB2312"/>
          <w:color w:val="auto"/>
          <w:sz w:val="32"/>
          <w:szCs w:val="32"/>
        </w:rPr>
      </w:pPr>
      <w:r>
        <w:rPr>
          <w:rFonts w:hint="eastAsia" w:ascii="仿宋_GB2312" w:hAnsi="宋体" w:eastAsia="仿宋_GB2312"/>
          <w:color w:val="auto"/>
          <w:sz w:val="32"/>
          <w:szCs w:val="32"/>
        </w:rPr>
        <w:t xml:space="preserve">                    </w:t>
      </w:r>
    </w:p>
    <w:p w14:paraId="19AE637E">
      <w:pPr>
        <w:tabs>
          <w:tab w:val="left" w:pos="2361"/>
        </w:tabs>
        <w:rPr>
          <w:rFonts w:ascii="仿宋_GB2312" w:hAnsi="宋体" w:eastAsia="仿宋_GB2312"/>
          <w:color w:val="auto"/>
          <w:sz w:val="32"/>
          <w:szCs w:val="32"/>
        </w:rPr>
      </w:pPr>
      <w:r>
        <w:rPr>
          <w:rFonts w:hint="eastAsia" w:ascii="仿宋_GB2312" w:hAnsi="宋体" w:eastAsia="仿宋_GB2312"/>
          <w:color w:val="auto"/>
          <w:sz w:val="32"/>
          <w:szCs w:val="32"/>
        </w:rPr>
        <w:t xml:space="preserve">                    填报单位：</w:t>
      </w: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rPr>
        <w:t>（盖章）</w:t>
      </w:r>
    </w:p>
    <w:p w14:paraId="47CB6FE2">
      <w:pPr>
        <w:tabs>
          <w:tab w:val="left" w:pos="2361"/>
        </w:tabs>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                    日    期：</w:t>
      </w:r>
      <w:r>
        <w:rPr>
          <w:rFonts w:hint="eastAsia" w:ascii="仿宋_GB2312" w:hAnsi="宋体" w:eastAsia="仿宋_GB2312"/>
          <w:color w:val="auto"/>
          <w:sz w:val="32"/>
          <w:szCs w:val="32"/>
          <w:u w:val="single"/>
        </w:rPr>
        <w:t xml:space="preserve">                 </w:t>
      </w:r>
    </w:p>
    <w:p w14:paraId="0FE0A5D2">
      <w:pPr>
        <w:rPr>
          <w:rFonts w:hint="eastAsia" w:ascii="黑体" w:hAnsi="黑体" w:eastAsia="黑体" w:cs="仿宋_GB2312"/>
          <w:color w:val="auto"/>
          <w:sz w:val="32"/>
          <w:szCs w:val="32"/>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r>
        <w:rPr>
          <w:rFonts w:hint="eastAsia" w:ascii="黑体" w:hAnsi="黑体" w:eastAsia="黑体" w:cs="仿宋_GB2312"/>
          <w:color w:val="auto"/>
          <w:sz w:val="32"/>
          <w:szCs w:val="32"/>
          <w:lang w:val="en-US" w:eastAsia="zh-CN"/>
        </w:rPr>
        <w:t xml:space="preserve"> </w:t>
      </w:r>
    </w:p>
    <w:p w14:paraId="6AB03D72">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附件5</w:t>
      </w:r>
    </w:p>
    <w:p w14:paraId="54F24A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黑体" w:cs="Times New Roman"/>
          <w:color w:val="auto"/>
          <w:szCs w:val="20"/>
        </w:rPr>
      </w:pPr>
    </w:p>
    <w:p w14:paraId="27204B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楷体" w:eastAsia="方正小标宋简体" w:cs="Times New Roman"/>
          <w:color w:val="auto"/>
          <w:sz w:val="44"/>
          <w:szCs w:val="44"/>
        </w:rPr>
      </w:pPr>
      <w:r>
        <w:rPr>
          <w:rFonts w:hint="eastAsia" w:ascii="方正小标宋简体" w:hAnsi="仿宋" w:eastAsia="方正小标宋简体" w:cs="Times New Roman"/>
          <w:color w:val="auto"/>
          <w:sz w:val="44"/>
          <w:szCs w:val="44"/>
        </w:rPr>
        <w:t>山东省</w:t>
      </w:r>
      <w:r>
        <w:rPr>
          <w:rFonts w:hint="eastAsia" w:ascii="方正小标宋简体" w:hAnsi="仿宋" w:eastAsia="方正小标宋简体" w:cs="Times New Roman"/>
          <w:color w:val="auto"/>
          <w:sz w:val="44"/>
          <w:szCs w:val="44"/>
          <w:lang w:eastAsia="zh-CN"/>
        </w:rPr>
        <w:t>就业</w:t>
      </w:r>
      <w:r>
        <w:rPr>
          <w:rFonts w:hint="eastAsia" w:ascii="方正小标宋简体" w:hAnsi="仿宋" w:eastAsia="方正小标宋简体" w:cs="Times New Roman"/>
          <w:color w:val="auto"/>
          <w:sz w:val="44"/>
          <w:szCs w:val="44"/>
        </w:rPr>
        <w:t>见习基本生活费花名册</w:t>
      </w:r>
    </w:p>
    <w:p w14:paraId="2A8391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楷体" w:eastAsia="方正小标宋简体" w:cs="Times New Roman"/>
          <w:color w:val="auto"/>
          <w:sz w:val="44"/>
          <w:szCs w:val="4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725"/>
        <w:gridCol w:w="557"/>
        <w:gridCol w:w="580"/>
        <w:gridCol w:w="884"/>
        <w:gridCol w:w="739"/>
        <w:gridCol w:w="696"/>
        <w:gridCol w:w="551"/>
        <w:gridCol w:w="522"/>
        <w:gridCol w:w="478"/>
        <w:gridCol w:w="646"/>
        <w:gridCol w:w="638"/>
        <w:gridCol w:w="1261"/>
        <w:gridCol w:w="1348"/>
        <w:gridCol w:w="986"/>
        <w:gridCol w:w="689"/>
        <w:gridCol w:w="1503"/>
        <w:gridCol w:w="932"/>
      </w:tblGrid>
      <w:tr w14:paraId="6DA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0" w:type="dxa"/>
            <w:vAlign w:val="center"/>
          </w:tcPr>
          <w:p w14:paraId="25781CDE">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序号</w:t>
            </w:r>
          </w:p>
        </w:tc>
        <w:tc>
          <w:tcPr>
            <w:tcW w:w="725" w:type="dxa"/>
            <w:vAlign w:val="center"/>
          </w:tcPr>
          <w:p w14:paraId="39B9E6F6">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区县</w:t>
            </w:r>
          </w:p>
        </w:tc>
        <w:tc>
          <w:tcPr>
            <w:tcW w:w="557" w:type="dxa"/>
            <w:vAlign w:val="center"/>
          </w:tcPr>
          <w:p w14:paraId="34B74129">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见习单位</w:t>
            </w:r>
          </w:p>
        </w:tc>
        <w:tc>
          <w:tcPr>
            <w:tcW w:w="580" w:type="dxa"/>
            <w:vAlign w:val="center"/>
          </w:tcPr>
          <w:p w14:paraId="306EDDC9">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姓</w:t>
            </w:r>
          </w:p>
          <w:p w14:paraId="25E80FE3">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名</w:t>
            </w:r>
          </w:p>
        </w:tc>
        <w:tc>
          <w:tcPr>
            <w:tcW w:w="884" w:type="dxa"/>
            <w:vAlign w:val="center"/>
          </w:tcPr>
          <w:p w14:paraId="165BA23C">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身份证号码</w:t>
            </w:r>
          </w:p>
        </w:tc>
        <w:tc>
          <w:tcPr>
            <w:tcW w:w="739" w:type="dxa"/>
            <w:vAlign w:val="center"/>
          </w:tcPr>
          <w:p w14:paraId="7E2A8110">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毕业</w:t>
            </w:r>
          </w:p>
          <w:p w14:paraId="0E981DF8">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年度</w:t>
            </w:r>
          </w:p>
        </w:tc>
        <w:tc>
          <w:tcPr>
            <w:tcW w:w="696" w:type="dxa"/>
            <w:vAlign w:val="center"/>
          </w:tcPr>
          <w:p w14:paraId="7FF0C4ED">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毕业</w:t>
            </w:r>
          </w:p>
          <w:p w14:paraId="76E74BE7">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院校</w:t>
            </w:r>
          </w:p>
        </w:tc>
        <w:tc>
          <w:tcPr>
            <w:tcW w:w="551" w:type="dxa"/>
            <w:vAlign w:val="center"/>
          </w:tcPr>
          <w:p w14:paraId="490BEBD1">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学</w:t>
            </w:r>
          </w:p>
          <w:p w14:paraId="0EB0E6E8">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历</w:t>
            </w:r>
          </w:p>
        </w:tc>
        <w:tc>
          <w:tcPr>
            <w:tcW w:w="522" w:type="dxa"/>
            <w:vAlign w:val="center"/>
          </w:tcPr>
          <w:p w14:paraId="6D5E6572">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年</w:t>
            </w:r>
          </w:p>
          <w:p w14:paraId="399BF26D">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龄</w:t>
            </w:r>
          </w:p>
        </w:tc>
        <w:tc>
          <w:tcPr>
            <w:tcW w:w="478" w:type="dxa"/>
            <w:vAlign w:val="center"/>
          </w:tcPr>
          <w:p w14:paraId="11B6FA4E">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籍</w:t>
            </w:r>
          </w:p>
          <w:p w14:paraId="6F2D4614">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贯</w:t>
            </w:r>
          </w:p>
        </w:tc>
        <w:tc>
          <w:tcPr>
            <w:tcW w:w="646" w:type="dxa"/>
            <w:vAlign w:val="center"/>
          </w:tcPr>
          <w:p w14:paraId="30D7C788">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见习</w:t>
            </w:r>
          </w:p>
          <w:p w14:paraId="7EB616EC">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起止</w:t>
            </w:r>
          </w:p>
          <w:p w14:paraId="2448307B">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时间</w:t>
            </w:r>
          </w:p>
        </w:tc>
        <w:tc>
          <w:tcPr>
            <w:tcW w:w="638" w:type="dxa"/>
            <w:vAlign w:val="center"/>
          </w:tcPr>
          <w:p w14:paraId="752C6127">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月</w:t>
            </w:r>
          </w:p>
          <w:p w14:paraId="0C90AB80">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数</w:t>
            </w:r>
          </w:p>
        </w:tc>
        <w:tc>
          <w:tcPr>
            <w:tcW w:w="1261" w:type="dxa"/>
            <w:vAlign w:val="center"/>
          </w:tcPr>
          <w:p w14:paraId="4C224F08">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基本生活</w:t>
            </w:r>
          </w:p>
          <w:p w14:paraId="35C612B1">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费发放</w:t>
            </w:r>
          </w:p>
          <w:p w14:paraId="7C157FC8">
            <w:pPr>
              <w:spacing w:line="280" w:lineRule="exact"/>
              <w:jc w:val="center"/>
              <w:rPr>
                <w:rFonts w:ascii="宋体" w:hAnsi="宋体" w:eastAsia="宋体" w:cs="Times New Roman"/>
                <w:bCs/>
                <w:color w:val="auto"/>
                <w:sz w:val="24"/>
                <w:szCs w:val="18"/>
              </w:rPr>
            </w:pPr>
            <w:r>
              <w:rPr>
                <w:rFonts w:hint="eastAsia" w:ascii="宋体" w:hAnsi="宋体" w:eastAsia="宋体" w:cs="Times New Roman"/>
                <w:color w:val="auto"/>
                <w:sz w:val="24"/>
                <w:szCs w:val="18"/>
              </w:rPr>
              <w:t>金额（元）</w:t>
            </w:r>
          </w:p>
        </w:tc>
        <w:tc>
          <w:tcPr>
            <w:tcW w:w="1348" w:type="dxa"/>
            <w:vAlign w:val="center"/>
          </w:tcPr>
          <w:p w14:paraId="537B1D9E">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缴纳工伤保险或购买意外伤害保险</w:t>
            </w:r>
          </w:p>
          <w:p w14:paraId="5602AF25">
            <w:pPr>
              <w:spacing w:line="280" w:lineRule="exact"/>
              <w:jc w:val="center"/>
              <w:rPr>
                <w:rFonts w:ascii="宋体" w:hAnsi="宋体" w:eastAsia="宋体" w:cs="Times New Roman"/>
                <w:bCs/>
                <w:color w:val="auto"/>
                <w:sz w:val="24"/>
                <w:szCs w:val="18"/>
              </w:rPr>
            </w:pPr>
            <w:r>
              <w:rPr>
                <w:rFonts w:hint="eastAsia" w:ascii="宋体" w:hAnsi="宋体" w:eastAsia="宋体" w:cs="Times New Roman"/>
                <w:color w:val="auto"/>
                <w:sz w:val="24"/>
                <w:szCs w:val="18"/>
              </w:rPr>
              <w:t>日期</w:t>
            </w:r>
          </w:p>
        </w:tc>
        <w:tc>
          <w:tcPr>
            <w:tcW w:w="986" w:type="dxa"/>
            <w:vAlign w:val="center"/>
          </w:tcPr>
          <w:p w14:paraId="599C58B7">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见习</w:t>
            </w:r>
          </w:p>
          <w:p w14:paraId="4E9702E3">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人员</w:t>
            </w:r>
          </w:p>
          <w:p w14:paraId="7F3DFA12">
            <w:pPr>
              <w:spacing w:line="280" w:lineRule="exact"/>
              <w:jc w:val="center"/>
              <w:rPr>
                <w:rFonts w:ascii="宋体" w:hAnsi="宋体" w:eastAsia="宋体" w:cs="Times New Roman"/>
                <w:bCs/>
                <w:color w:val="auto"/>
                <w:sz w:val="24"/>
                <w:szCs w:val="18"/>
              </w:rPr>
            </w:pPr>
            <w:r>
              <w:rPr>
                <w:rFonts w:hint="eastAsia" w:ascii="宋体" w:hAnsi="宋体" w:eastAsia="宋体" w:cs="Times New Roman"/>
                <w:color w:val="auto"/>
                <w:sz w:val="24"/>
                <w:szCs w:val="18"/>
              </w:rPr>
              <w:t>签名</w:t>
            </w:r>
          </w:p>
        </w:tc>
        <w:tc>
          <w:tcPr>
            <w:tcW w:w="689" w:type="dxa"/>
            <w:vAlign w:val="center"/>
          </w:tcPr>
          <w:p w14:paraId="652D18A6">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带教老师</w:t>
            </w:r>
          </w:p>
          <w:p w14:paraId="1B1A50E3">
            <w:pPr>
              <w:spacing w:line="280" w:lineRule="exact"/>
              <w:jc w:val="center"/>
              <w:rPr>
                <w:rFonts w:ascii="宋体" w:hAnsi="宋体" w:eastAsia="宋体" w:cs="Times New Roman"/>
                <w:color w:val="auto"/>
                <w:sz w:val="24"/>
                <w:szCs w:val="18"/>
              </w:rPr>
            </w:pPr>
            <w:r>
              <w:rPr>
                <w:rFonts w:hint="eastAsia" w:ascii="宋体" w:hAnsi="宋体" w:eastAsia="宋体" w:cs="Times New Roman"/>
                <w:color w:val="auto"/>
                <w:sz w:val="24"/>
                <w:szCs w:val="18"/>
              </w:rPr>
              <w:t>姓名</w:t>
            </w:r>
          </w:p>
        </w:tc>
        <w:tc>
          <w:tcPr>
            <w:tcW w:w="1503" w:type="dxa"/>
            <w:vAlign w:val="center"/>
          </w:tcPr>
          <w:p w14:paraId="5E7770F5">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见习人员联系电话</w:t>
            </w:r>
          </w:p>
        </w:tc>
        <w:tc>
          <w:tcPr>
            <w:tcW w:w="932" w:type="dxa"/>
            <w:vAlign w:val="center"/>
          </w:tcPr>
          <w:p w14:paraId="4CB96D00">
            <w:pPr>
              <w:spacing w:line="280" w:lineRule="exact"/>
              <w:jc w:val="center"/>
              <w:rPr>
                <w:rFonts w:ascii="宋体" w:hAnsi="宋体" w:eastAsia="宋体" w:cs="Times New Roman"/>
                <w:bCs/>
                <w:color w:val="auto"/>
                <w:sz w:val="24"/>
                <w:szCs w:val="18"/>
              </w:rPr>
            </w:pPr>
            <w:r>
              <w:rPr>
                <w:rFonts w:hint="eastAsia" w:ascii="宋体" w:hAnsi="宋体" w:eastAsia="宋体" w:cs="Times New Roman"/>
                <w:bCs/>
                <w:color w:val="auto"/>
                <w:sz w:val="24"/>
                <w:szCs w:val="18"/>
              </w:rPr>
              <w:t>备注</w:t>
            </w:r>
          </w:p>
        </w:tc>
      </w:tr>
      <w:tr w14:paraId="5AE8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36D04BD7">
            <w:pPr>
              <w:spacing w:line="280" w:lineRule="exact"/>
              <w:jc w:val="center"/>
              <w:rPr>
                <w:rFonts w:ascii="宋体" w:hAnsi="宋体" w:eastAsia="宋体" w:cs="Times New Roman"/>
                <w:bCs/>
                <w:color w:val="auto"/>
                <w:szCs w:val="21"/>
              </w:rPr>
            </w:pPr>
          </w:p>
        </w:tc>
        <w:tc>
          <w:tcPr>
            <w:tcW w:w="725" w:type="dxa"/>
            <w:vAlign w:val="center"/>
          </w:tcPr>
          <w:p w14:paraId="23531802">
            <w:pPr>
              <w:spacing w:line="280" w:lineRule="exact"/>
              <w:jc w:val="center"/>
              <w:rPr>
                <w:rFonts w:ascii="宋体" w:hAnsi="宋体" w:eastAsia="宋体" w:cs="Times New Roman"/>
                <w:bCs/>
                <w:color w:val="auto"/>
                <w:szCs w:val="21"/>
              </w:rPr>
            </w:pPr>
          </w:p>
        </w:tc>
        <w:tc>
          <w:tcPr>
            <w:tcW w:w="557" w:type="dxa"/>
          </w:tcPr>
          <w:p w14:paraId="3215EC0D">
            <w:pPr>
              <w:spacing w:line="280" w:lineRule="exact"/>
              <w:jc w:val="center"/>
              <w:rPr>
                <w:rFonts w:ascii="宋体" w:hAnsi="宋体" w:eastAsia="宋体" w:cs="Times New Roman"/>
                <w:bCs/>
                <w:color w:val="auto"/>
                <w:szCs w:val="21"/>
              </w:rPr>
            </w:pPr>
          </w:p>
        </w:tc>
        <w:tc>
          <w:tcPr>
            <w:tcW w:w="580" w:type="dxa"/>
          </w:tcPr>
          <w:p w14:paraId="0B09BEAE">
            <w:pPr>
              <w:spacing w:line="280" w:lineRule="exact"/>
              <w:jc w:val="center"/>
              <w:rPr>
                <w:rFonts w:ascii="宋体" w:hAnsi="宋体" w:eastAsia="宋体" w:cs="Times New Roman"/>
                <w:bCs/>
                <w:color w:val="auto"/>
                <w:szCs w:val="21"/>
              </w:rPr>
            </w:pPr>
          </w:p>
        </w:tc>
        <w:tc>
          <w:tcPr>
            <w:tcW w:w="884" w:type="dxa"/>
          </w:tcPr>
          <w:p w14:paraId="515AF1C4">
            <w:pPr>
              <w:spacing w:line="280" w:lineRule="exact"/>
              <w:jc w:val="center"/>
              <w:rPr>
                <w:rFonts w:ascii="宋体" w:hAnsi="宋体" w:eastAsia="宋体" w:cs="Times New Roman"/>
                <w:bCs/>
                <w:color w:val="auto"/>
                <w:szCs w:val="21"/>
              </w:rPr>
            </w:pPr>
          </w:p>
        </w:tc>
        <w:tc>
          <w:tcPr>
            <w:tcW w:w="739" w:type="dxa"/>
            <w:vAlign w:val="center"/>
          </w:tcPr>
          <w:p w14:paraId="290C7AA9">
            <w:pPr>
              <w:spacing w:line="280" w:lineRule="exact"/>
              <w:jc w:val="center"/>
              <w:rPr>
                <w:rFonts w:ascii="宋体" w:hAnsi="宋体" w:eastAsia="宋体" w:cs="Times New Roman"/>
                <w:bCs/>
                <w:color w:val="auto"/>
                <w:szCs w:val="21"/>
              </w:rPr>
            </w:pPr>
          </w:p>
        </w:tc>
        <w:tc>
          <w:tcPr>
            <w:tcW w:w="696" w:type="dxa"/>
            <w:vAlign w:val="center"/>
          </w:tcPr>
          <w:p w14:paraId="03C48B3F">
            <w:pPr>
              <w:spacing w:line="280" w:lineRule="exact"/>
              <w:jc w:val="center"/>
              <w:rPr>
                <w:rFonts w:ascii="宋体" w:hAnsi="宋体" w:eastAsia="宋体" w:cs="Times New Roman"/>
                <w:bCs/>
                <w:color w:val="auto"/>
                <w:szCs w:val="21"/>
              </w:rPr>
            </w:pPr>
          </w:p>
        </w:tc>
        <w:tc>
          <w:tcPr>
            <w:tcW w:w="551" w:type="dxa"/>
            <w:vAlign w:val="center"/>
          </w:tcPr>
          <w:p w14:paraId="44F7D21E">
            <w:pPr>
              <w:spacing w:line="280" w:lineRule="exact"/>
              <w:jc w:val="center"/>
              <w:rPr>
                <w:rFonts w:ascii="宋体" w:hAnsi="宋体" w:eastAsia="宋体" w:cs="Times New Roman"/>
                <w:bCs/>
                <w:color w:val="auto"/>
                <w:szCs w:val="21"/>
              </w:rPr>
            </w:pPr>
          </w:p>
        </w:tc>
        <w:tc>
          <w:tcPr>
            <w:tcW w:w="522" w:type="dxa"/>
            <w:vAlign w:val="center"/>
          </w:tcPr>
          <w:p w14:paraId="3B5C5E6F">
            <w:pPr>
              <w:spacing w:line="280" w:lineRule="exact"/>
              <w:jc w:val="center"/>
              <w:rPr>
                <w:rFonts w:ascii="宋体" w:hAnsi="宋体" w:eastAsia="宋体" w:cs="Times New Roman"/>
                <w:bCs/>
                <w:color w:val="auto"/>
                <w:szCs w:val="21"/>
              </w:rPr>
            </w:pPr>
          </w:p>
        </w:tc>
        <w:tc>
          <w:tcPr>
            <w:tcW w:w="478" w:type="dxa"/>
            <w:vAlign w:val="center"/>
          </w:tcPr>
          <w:p w14:paraId="4785BEA3">
            <w:pPr>
              <w:spacing w:line="280" w:lineRule="exact"/>
              <w:jc w:val="center"/>
              <w:rPr>
                <w:rFonts w:ascii="宋体" w:hAnsi="宋体" w:eastAsia="宋体" w:cs="Times New Roman"/>
                <w:bCs/>
                <w:color w:val="auto"/>
                <w:szCs w:val="21"/>
              </w:rPr>
            </w:pPr>
          </w:p>
        </w:tc>
        <w:tc>
          <w:tcPr>
            <w:tcW w:w="646" w:type="dxa"/>
            <w:vAlign w:val="center"/>
          </w:tcPr>
          <w:p w14:paraId="56F83C5C">
            <w:pPr>
              <w:spacing w:line="280" w:lineRule="exact"/>
              <w:jc w:val="center"/>
              <w:rPr>
                <w:rFonts w:ascii="宋体" w:hAnsi="宋体" w:eastAsia="宋体" w:cs="Times New Roman"/>
                <w:bCs/>
                <w:color w:val="auto"/>
                <w:szCs w:val="21"/>
              </w:rPr>
            </w:pPr>
          </w:p>
        </w:tc>
        <w:tc>
          <w:tcPr>
            <w:tcW w:w="638" w:type="dxa"/>
            <w:vAlign w:val="center"/>
          </w:tcPr>
          <w:p w14:paraId="34521F01">
            <w:pPr>
              <w:spacing w:line="280" w:lineRule="exact"/>
              <w:jc w:val="center"/>
              <w:rPr>
                <w:rFonts w:ascii="宋体" w:hAnsi="宋体" w:eastAsia="宋体" w:cs="Times New Roman"/>
                <w:bCs/>
                <w:color w:val="auto"/>
                <w:szCs w:val="21"/>
              </w:rPr>
            </w:pPr>
          </w:p>
        </w:tc>
        <w:tc>
          <w:tcPr>
            <w:tcW w:w="1261" w:type="dxa"/>
            <w:vAlign w:val="center"/>
          </w:tcPr>
          <w:p w14:paraId="3CFC1978">
            <w:pPr>
              <w:spacing w:line="280" w:lineRule="exact"/>
              <w:jc w:val="center"/>
              <w:rPr>
                <w:rFonts w:ascii="宋体" w:hAnsi="宋体" w:eastAsia="宋体" w:cs="Times New Roman"/>
                <w:bCs/>
                <w:color w:val="auto"/>
                <w:szCs w:val="21"/>
              </w:rPr>
            </w:pPr>
          </w:p>
        </w:tc>
        <w:tc>
          <w:tcPr>
            <w:tcW w:w="1348" w:type="dxa"/>
            <w:vAlign w:val="center"/>
          </w:tcPr>
          <w:p w14:paraId="53725F39">
            <w:pPr>
              <w:spacing w:line="280" w:lineRule="exact"/>
              <w:jc w:val="center"/>
              <w:rPr>
                <w:rFonts w:ascii="宋体" w:hAnsi="宋体" w:eastAsia="宋体" w:cs="Times New Roman"/>
                <w:bCs/>
                <w:color w:val="auto"/>
                <w:szCs w:val="21"/>
              </w:rPr>
            </w:pPr>
          </w:p>
        </w:tc>
        <w:tc>
          <w:tcPr>
            <w:tcW w:w="986" w:type="dxa"/>
            <w:vAlign w:val="center"/>
          </w:tcPr>
          <w:p w14:paraId="537D08A8">
            <w:pPr>
              <w:spacing w:line="280" w:lineRule="exact"/>
              <w:jc w:val="center"/>
              <w:rPr>
                <w:rFonts w:ascii="宋体" w:hAnsi="宋体" w:eastAsia="宋体" w:cs="Times New Roman"/>
                <w:bCs/>
                <w:color w:val="auto"/>
                <w:szCs w:val="21"/>
              </w:rPr>
            </w:pPr>
          </w:p>
        </w:tc>
        <w:tc>
          <w:tcPr>
            <w:tcW w:w="689" w:type="dxa"/>
            <w:vAlign w:val="center"/>
          </w:tcPr>
          <w:p w14:paraId="57E9355A">
            <w:pPr>
              <w:spacing w:line="280" w:lineRule="exact"/>
              <w:jc w:val="center"/>
              <w:rPr>
                <w:rFonts w:ascii="宋体" w:hAnsi="宋体" w:eastAsia="宋体" w:cs="Times New Roman"/>
                <w:bCs/>
                <w:color w:val="auto"/>
                <w:szCs w:val="21"/>
              </w:rPr>
            </w:pPr>
          </w:p>
        </w:tc>
        <w:tc>
          <w:tcPr>
            <w:tcW w:w="1503" w:type="dxa"/>
            <w:vAlign w:val="center"/>
          </w:tcPr>
          <w:p w14:paraId="127B9623">
            <w:pPr>
              <w:spacing w:line="280" w:lineRule="exact"/>
              <w:jc w:val="center"/>
              <w:rPr>
                <w:rFonts w:ascii="宋体" w:hAnsi="宋体" w:eastAsia="宋体" w:cs="Times New Roman"/>
                <w:bCs/>
                <w:color w:val="auto"/>
                <w:szCs w:val="21"/>
              </w:rPr>
            </w:pPr>
          </w:p>
        </w:tc>
        <w:tc>
          <w:tcPr>
            <w:tcW w:w="932" w:type="dxa"/>
            <w:vAlign w:val="center"/>
          </w:tcPr>
          <w:p w14:paraId="624C7261">
            <w:pPr>
              <w:spacing w:line="280" w:lineRule="exact"/>
              <w:jc w:val="center"/>
              <w:rPr>
                <w:rFonts w:ascii="宋体" w:hAnsi="宋体" w:eastAsia="宋体" w:cs="Times New Roman"/>
                <w:bCs/>
                <w:color w:val="auto"/>
                <w:szCs w:val="21"/>
              </w:rPr>
            </w:pPr>
          </w:p>
        </w:tc>
      </w:tr>
      <w:tr w14:paraId="7B3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06A4E033">
            <w:pPr>
              <w:spacing w:line="280" w:lineRule="exact"/>
              <w:jc w:val="center"/>
              <w:rPr>
                <w:rFonts w:ascii="宋体" w:hAnsi="宋体" w:eastAsia="宋体" w:cs="Times New Roman"/>
                <w:bCs/>
                <w:color w:val="auto"/>
                <w:szCs w:val="21"/>
              </w:rPr>
            </w:pPr>
          </w:p>
        </w:tc>
        <w:tc>
          <w:tcPr>
            <w:tcW w:w="725" w:type="dxa"/>
            <w:vAlign w:val="center"/>
          </w:tcPr>
          <w:p w14:paraId="2CF8BD7D">
            <w:pPr>
              <w:spacing w:line="280" w:lineRule="exact"/>
              <w:jc w:val="center"/>
              <w:rPr>
                <w:rFonts w:ascii="宋体" w:hAnsi="宋体" w:eastAsia="宋体" w:cs="Times New Roman"/>
                <w:bCs/>
                <w:color w:val="auto"/>
                <w:szCs w:val="21"/>
              </w:rPr>
            </w:pPr>
          </w:p>
        </w:tc>
        <w:tc>
          <w:tcPr>
            <w:tcW w:w="557" w:type="dxa"/>
          </w:tcPr>
          <w:p w14:paraId="7512636F">
            <w:pPr>
              <w:spacing w:line="280" w:lineRule="exact"/>
              <w:jc w:val="center"/>
              <w:rPr>
                <w:rFonts w:ascii="宋体" w:hAnsi="宋体" w:eastAsia="宋体" w:cs="Times New Roman"/>
                <w:bCs/>
                <w:color w:val="auto"/>
                <w:szCs w:val="21"/>
              </w:rPr>
            </w:pPr>
          </w:p>
        </w:tc>
        <w:tc>
          <w:tcPr>
            <w:tcW w:w="580" w:type="dxa"/>
          </w:tcPr>
          <w:p w14:paraId="4C0CB8F6">
            <w:pPr>
              <w:spacing w:line="280" w:lineRule="exact"/>
              <w:jc w:val="center"/>
              <w:rPr>
                <w:rFonts w:ascii="宋体" w:hAnsi="宋体" w:eastAsia="宋体" w:cs="Times New Roman"/>
                <w:bCs/>
                <w:color w:val="auto"/>
                <w:szCs w:val="21"/>
              </w:rPr>
            </w:pPr>
          </w:p>
        </w:tc>
        <w:tc>
          <w:tcPr>
            <w:tcW w:w="884" w:type="dxa"/>
          </w:tcPr>
          <w:p w14:paraId="1B79D08F">
            <w:pPr>
              <w:spacing w:line="280" w:lineRule="exact"/>
              <w:jc w:val="center"/>
              <w:rPr>
                <w:rFonts w:ascii="宋体" w:hAnsi="宋体" w:eastAsia="宋体" w:cs="Times New Roman"/>
                <w:bCs/>
                <w:color w:val="auto"/>
                <w:szCs w:val="21"/>
              </w:rPr>
            </w:pPr>
          </w:p>
        </w:tc>
        <w:tc>
          <w:tcPr>
            <w:tcW w:w="739" w:type="dxa"/>
            <w:vAlign w:val="center"/>
          </w:tcPr>
          <w:p w14:paraId="106E1622">
            <w:pPr>
              <w:spacing w:line="280" w:lineRule="exact"/>
              <w:jc w:val="center"/>
              <w:rPr>
                <w:rFonts w:ascii="宋体" w:hAnsi="宋体" w:eastAsia="宋体" w:cs="Times New Roman"/>
                <w:bCs/>
                <w:color w:val="auto"/>
                <w:szCs w:val="21"/>
              </w:rPr>
            </w:pPr>
          </w:p>
        </w:tc>
        <w:tc>
          <w:tcPr>
            <w:tcW w:w="696" w:type="dxa"/>
            <w:vAlign w:val="center"/>
          </w:tcPr>
          <w:p w14:paraId="789FB03E">
            <w:pPr>
              <w:spacing w:line="280" w:lineRule="exact"/>
              <w:jc w:val="center"/>
              <w:rPr>
                <w:rFonts w:ascii="宋体" w:hAnsi="宋体" w:eastAsia="宋体" w:cs="Times New Roman"/>
                <w:bCs/>
                <w:color w:val="auto"/>
                <w:szCs w:val="21"/>
              </w:rPr>
            </w:pPr>
          </w:p>
        </w:tc>
        <w:tc>
          <w:tcPr>
            <w:tcW w:w="551" w:type="dxa"/>
            <w:vAlign w:val="center"/>
          </w:tcPr>
          <w:p w14:paraId="227E0326">
            <w:pPr>
              <w:spacing w:line="280" w:lineRule="exact"/>
              <w:jc w:val="center"/>
              <w:rPr>
                <w:rFonts w:ascii="宋体" w:hAnsi="宋体" w:eastAsia="宋体" w:cs="Times New Roman"/>
                <w:bCs/>
                <w:color w:val="auto"/>
                <w:szCs w:val="21"/>
              </w:rPr>
            </w:pPr>
          </w:p>
        </w:tc>
        <w:tc>
          <w:tcPr>
            <w:tcW w:w="522" w:type="dxa"/>
            <w:vAlign w:val="center"/>
          </w:tcPr>
          <w:p w14:paraId="6DAF0ABA">
            <w:pPr>
              <w:spacing w:line="280" w:lineRule="exact"/>
              <w:jc w:val="center"/>
              <w:rPr>
                <w:rFonts w:ascii="宋体" w:hAnsi="宋体" w:eastAsia="宋体" w:cs="Times New Roman"/>
                <w:bCs/>
                <w:color w:val="auto"/>
                <w:szCs w:val="21"/>
              </w:rPr>
            </w:pPr>
          </w:p>
        </w:tc>
        <w:tc>
          <w:tcPr>
            <w:tcW w:w="478" w:type="dxa"/>
            <w:vAlign w:val="center"/>
          </w:tcPr>
          <w:p w14:paraId="76C7916C">
            <w:pPr>
              <w:spacing w:line="280" w:lineRule="exact"/>
              <w:jc w:val="center"/>
              <w:rPr>
                <w:rFonts w:ascii="宋体" w:hAnsi="宋体" w:eastAsia="宋体" w:cs="Times New Roman"/>
                <w:bCs/>
                <w:color w:val="auto"/>
                <w:szCs w:val="21"/>
              </w:rPr>
            </w:pPr>
          </w:p>
        </w:tc>
        <w:tc>
          <w:tcPr>
            <w:tcW w:w="646" w:type="dxa"/>
            <w:vAlign w:val="center"/>
          </w:tcPr>
          <w:p w14:paraId="453E5D9D">
            <w:pPr>
              <w:spacing w:line="280" w:lineRule="exact"/>
              <w:jc w:val="center"/>
              <w:rPr>
                <w:rFonts w:ascii="宋体" w:hAnsi="宋体" w:eastAsia="宋体" w:cs="Times New Roman"/>
                <w:bCs/>
                <w:color w:val="auto"/>
                <w:szCs w:val="21"/>
              </w:rPr>
            </w:pPr>
          </w:p>
        </w:tc>
        <w:tc>
          <w:tcPr>
            <w:tcW w:w="638" w:type="dxa"/>
            <w:vAlign w:val="center"/>
          </w:tcPr>
          <w:p w14:paraId="0BEA9288">
            <w:pPr>
              <w:spacing w:line="280" w:lineRule="exact"/>
              <w:jc w:val="center"/>
              <w:rPr>
                <w:rFonts w:ascii="宋体" w:hAnsi="宋体" w:eastAsia="宋体" w:cs="Times New Roman"/>
                <w:bCs/>
                <w:color w:val="auto"/>
                <w:szCs w:val="21"/>
              </w:rPr>
            </w:pPr>
          </w:p>
        </w:tc>
        <w:tc>
          <w:tcPr>
            <w:tcW w:w="1261" w:type="dxa"/>
            <w:vAlign w:val="center"/>
          </w:tcPr>
          <w:p w14:paraId="37CAE140">
            <w:pPr>
              <w:spacing w:line="280" w:lineRule="exact"/>
              <w:jc w:val="center"/>
              <w:rPr>
                <w:rFonts w:ascii="宋体" w:hAnsi="宋体" w:eastAsia="宋体" w:cs="Times New Roman"/>
                <w:bCs/>
                <w:color w:val="auto"/>
                <w:szCs w:val="21"/>
              </w:rPr>
            </w:pPr>
          </w:p>
        </w:tc>
        <w:tc>
          <w:tcPr>
            <w:tcW w:w="1348" w:type="dxa"/>
            <w:vAlign w:val="center"/>
          </w:tcPr>
          <w:p w14:paraId="44753F2D">
            <w:pPr>
              <w:spacing w:line="280" w:lineRule="exact"/>
              <w:jc w:val="center"/>
              <w:rPr>
                <w:rFonts w:ascii="宋体" w:hAnsi="宋体" w:eastAsia="宋体" w:cs="Times New Roman"/>
                <w:bCs/>
                <w:color w:val="auto"/>
                <w:szCs w:val="21"/>
              </w:rPr>
            </w:pPr>
          </w:p>
        </w:tc>
        <w:tc>
          <w:tcPr>
            <w:tcW w:w="986" w:type="dxa"/>
            <w:vAlign w:val="center"/>
          </w:tcPr>
          <w:p w14:paraId="3EFC0BC3">
            <w:pPr>
              <w:spacing w:line="280" w:lineRule="exact"/>
              <w:jc w:val="center"/>
              <w:rPr>
                <w:rFonts w:ascii="宋体" w:hAnsi="宋体" w:eastAsia="宋体" w:cs="Times New Roman"/>
                <w:bCs/>
                <w:color w:val="auto"/>
                <w:szCs w:val="21"/>
              </w:rPr>
            </w:pPr>
          </w:p>
        </w:tc>
        <w:tc>
          <w:tcPr>
            <w:tcW w:w="689" w:type="dxa"/>
            <w:vAlign w:val="center"/>
          </w:tcPr>
          <w:p w14:paraId="700E2ACE">
            <w:pPr>
              <w:spacing w:line="280" w:lineRule="exact"/>
              <w:jc w:val="center"/>
              <w:rPr>
                <w:rFonts w:ascii="宋体" w:hAnsi="宋体" w:eastAsia="宋体" w:cs="Times New Roman"/>
                <w:bCs/>
                <w:color w:val="auto"/>
                <w:szCs w:val="21"/>
              </w:rPr>
            </w:pPr>
          </w:p>
        </w:tc>
        <w:tc>
          <w:tcPr>
            <w:tcW w:w="1503" w:type="dxa"/>
            <w:vAlign w:val="center"/>
          </w:tcPr>
          <w:p w14:paraId="46A088C5">
            <w:pPr>
              <w:spacing w:line="280" w:lineRule="exact"/>
              <w:jc w:val="center"/>
              <w:rPr>
                <w:rFonts w:ascii="宋体" w:hAnsi="宋体" w:eastAsia="宋体" w:cs="Times New Roman"/>
                <w:bCs/>
                <w:color w:val="auto"/>
                <w:szCs w:val="21"/>
              </w:rPr>
            </w:pPr>
          </w:p>
        </w:tc>
        <w:tc>
          <w:tcPr>
            <w:tcW w:w="932" w:type="dxa"/>
            <w:vAlign w:val="center"/>
          </w:tcPr>
          <w:p w14:paraId="2805928A">
            <w:pPr>
              <w:spacing w:line="280" w:lineRule="exact"/>
              <w:jc w:val="center"/>
              <w:rPr>
                <w:rFonts w:ascii="宋体" w:hAnsi="宋体" w:eastAsia="宋体" w:cs="Times New Roman"/>
                <w:bCs/>
                <w:color w:val="auto"/>
                <w:szCs w:val="21"/>
              </w:rPr>
            </w:pPr>
          </w:p>
        </w:tc>
      </w:tr>
      <w:tr w14:paraId="78AA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2D9857FB">
            <w:pPr>
              <w:spacing w:line="280" w:lineRule="exact"/>
              <w:jc w:val="center"/>
              <w:rPr>
                <w:rFonts w:ascii="宋体" w:hAnsi="宋体" w:eastAsia="宋体" w:cs="Times New Roman"/>
                <w:bCs/>
                <w:color w:val="auto"/>
                <w:szCs w:val="21"/>
              </w:rPr>
            </w:pPr>
          </w:p>
        </w:tc>
        <w:tc>
          <w:tcPr>
            <w:tcW w:w="725" w:type="dxa"/>
            <w:vAlign w:val="center"/>
          </w:tcPr>
          <w:p w14:paraId="17E29714">
            <w:pPr>
              <w:spacing w:line="280" w:lineRule="exact"/>
              <w:jc w:val="center"/>
              <w:rPr>
                <w:rFonts w:ascii="宋体" w:hAnsi="宋体" w:eastAsia="宋体" w:cs="Times New Roman"/>
                <w:bCs/>
                <w:color w:val="auto"/>
                <w:szCs w:val="21"/>
              </w:rPr>
            </w:pPr>
          </w:p>
        </w:tc>
        <w:tc>
          <w:tcPr>
            <w:tcW w:w="557" w:type="dxa"/>
          </w:tcPr>
          <w:p w14:paraId="4A15810B">
            <w:pPr>
              <w:spacing w:line="280" w:lineRule="exact"/>
              <w:jc w:val="center"/>
              <w:rPr>
                <w:rFonts w:ascii="宋体" w:hAnsi="宋体" w:eastAsia="宋体" w:cs="Times New Roman"/>
                <w:bCs/>
                <w:color w:val="auto"/>
                <w:szCs w:val="21"/>
              </w:rPr>
            </w:pPr>
          </w:p>
        </w:tc>
        <w:tc>
          <w:tcPr>
            <w:tcW w:w="580" w:type="dxa"/>
          </w:tcPr>
          <w:p w14:paraId="14CF3C00">
            <w:pPr>
              <w:spacing w:line="280" w:lineRule="exact"/>
              <w:jc w:val="center"/>
              <w:rPr>
                <w:rFonts w:ascii="宋体" w:hAnsi="宋体" w:eastAsia="宋体" w:cs="Times New Roman"/>
                <w:bCs/>
                <w:color w:val="auto"/>
                <w:szCs w:val="21"/>
              </w:rPr>
            </w:pPr>
          </w:p>
        </w:tc>
        <w:tc>
          <w:tcPr>
            <w:tcW w:w="884" w:type="dxa"/>
          </w:tcPr>
          <w:p w14:paraId="09E1619C">
            <w:pPr>
              <w:spacing w:line="280" w:lineRule="exact"/>
              <w:jc w:val="center"/>
              <w:rPr>
                <w:rFonts w:ascii="宋体" w:hAnsi="宋体" w:eastAsia="宋体" w:cs="Times New Roman"/>
                <w:bCs/>
                <w:color w:val="auto"/>
                <w:szCs w:val="21"/>
              </w:rPr>
            </w:pPr>
          </w:p>
        </w:tc>
        <w:tc>
          <w:tcPr>
            <w:tcW w:w="739" w:type="dxa"/>
            <w:vAlign w:val="center"/>
          </w:tcPr>
          <w:p w14:paraId="1AA7E644">
            <w:pPr>
              <w:spacing w:line="280" w:lineRule="exact"/>
              <w:jc w:val="center"/>
              <w:rPr>
                <w:rFonts w:ascii="宋体" w:hAnsi="宋体" w:eastAsia="宋体" w:cs="Times New Roman"/>
                <w:bCs/>
                <w:color w:val="auto"/>
                <w:szCs w:val="21"/>
              </w:rPr>
            </w:pPr>
          </w:p>
        </w:tc>
        <w:tc>
          <w:tcPr>
            <w:tcW w:w="696" w:type="dxa"/>
            <w:vAlign w:val="center"/>
          </w:tcPr>
          <w:p w14:paraId="51AC1162">
            <w:pPr>
              <w:spacing w:line="280" w:lineRule="exact"/>
              <w:jc w:val="center"/>
              <w:rPr>
                <w:rFonts w:ascii="宋体" w:hAnsi="宋体" w:eastAsia="宋体" w:cs="Times New Roman"/>
                <w:bCs/>
                <w:color w:val="auto"/>
                <w:szCs w:val="21"/>
              </w:rPr>
            </w:pPr>
          </w:p>
        </w:tc>
        <w:tc>
          <w:tcPr>
            <w:tcW w:w="551" w:type="dxa"/>
            <w:vAlign w:val="center"/>
          </w:tcPr>
          <w:p w14:paraId="4BB26D3B">
            <w:pPr>
              <w:spacing w:line="280" w:lineRule="exact"/>
              <w:jc w:val="center"/>
              <w:rPr>
                <w:rFonts w:ascii="宋体" w:hAnsi="宋体" w:eastAsia="宋体" w:cs="Times New Roman"/>
                <w:bCs/>
                <w:color w:val="auto"/>
                <w:szCs w:val="21"/>
              </w:rPr>
            </w:pPr>
          </w:p>
        </w:tc>
        <w:tc>
          <w:tcPr>
            <w:tcW w:w="522" w:type="dxa"/>
            <w:vAlign w:val="center"/>
          </w:tcPr>
          <w:p w14:paraId="03B027BE">
            <w:pPr>
              <w:spacing w:line="280" w:lineRule="exact"/>
              <w:jc w:val="center"/>
              <w:rPr>
                <w:rFonts w:ascii="宋体" w:hAnsi="宋体" w:eastAsia="宋体" w:cs="Times New Roman"/>
                <w:bCs/>
                <w:color w:val="auto"/>
                <w:szCs w:val="21"/>
              </w:rPr>
            </w:pPr>
          </w:p>
        </w:tc>
        <w:tc>
          <w:tcPr>
            <w:tcW w:w="478" w:type="dxa"/>
            <w:vAlign w:val="center"/>
          </w:tcPr>
          <w:p w14:paraId="4D290492">
            <w:pPr>
              <w:spacing w:line="280" w:lineRule="exact"/>
              <w:jc w:val="center"/>
              <w:rPr>
                <w:rFonts w:ascii="宋体" w:hAnsi="宋体" w:eastAsia="宋体" w:cs="Times New Roman"/>
                <w:bCs/>
                <w:color w:val="auto"/>
                <w:szCs w:val="21"/>
              </w:rPr>
            </w:pPr>
          </w:p>
        </w:tc>
        <w:tc>
          <w:tcPr>
            <w:tcW w:w="646" w:type="dxa"/>
            <w:vAlign w:val="center"/>
          </w:tcPr>
          <w:p w14:paraId="6B486C22">
            <w:pPr>
              <w:spacing w:line="280" w:lineRule="exact"/>
              <w:jc w:val="center"/>
              <w:rPr>
                <w:rFonts w:ascii="宋体" w:hAnsi="宋体" w:eastAsia="宋体" w:cs="Times New Roman"/>
                <w:bCs/>
                <w:color w:val="auto"/>
                <w:szCs w:val="21"/>
              </w:rPr>
            </w:pPr>
          </w:p>
        </w:tc>
        <w:tc>
          <w:tcPr>
            <w:tcW w:w="638" w:type="dxa"/>
            <w:vAlign w:val="center"/>
          </w:tcPr>
          <w:p w14:paraId="25964A69">
            <w:pPr>
              <w:spacing w:line="280" w:lineRule="exact"/>
              <w:jc w:val="center"/>
              <w:rPr>
                <w:rFonts w:ascii="宋体" w:hAnsi="宋体" w:eastAsia="宋体" w:cs="Times New Roman"/>
                <w:bCs/>
                <w:color w:val="auto"/>
                <w:szCs w:val="21"/>
              </w:rPr>
            </w:pPr>
          </w:p>
        </w:tc>
        <w:tc>
          <w:tcPr>
            <w:tcW w:w="1261" w:type="dxa"/>
            <w:vAlign w:val="center"/>
          </w:tcPr>
          <w:p w14:paraId="15085A28">
            <w:pPr>
              <w:spacing w:line="280" w:lineRule="exact"/>
              <w:jc w:val="center"/>
              <w:rPr>
                <w:rFonts w:ascii="宋体" w:hAnsi="宋体" w:eastAsia="宋体" w:cs="Times New Roman"/>
                <w:bCs/>
                <w:color w:val="auto"/>
                <w:szCs w:val="21"/>
              </w:rPr>
            </w:pPr>
          </w:p>
        </w:tc>
        <w:tc>
          <w:tcPr>
            <w:tcW w:w="1348" w:type="dxa"/>
            <w:vAlign w:val="center"/>
          </w:tcPr>
          <w:p w14:paraId="529FAC02">
            <w:pPr>
              <w:spacing w:line="280" w:lineRule="exact"/>
              <w:jc w:val="center"/>
              <w:rPr>
                <w:rFonts w:ascii="宋体" w:hAnsi="宋体" w:eastAsia="宋体" w:cs="Times New Roman"/>
                <w:bCs/>
                <w:color w:val="auto"/>
                <w:szCs w:val="21"/>
              </w:rPr>
            </w:pPr>
          </w:p>
        </w:tc>
        <w:tc>
          <w:tcPr>
            <w:tcW w:w="986" w:type="dxa"/>
            <w:vAlign w:val="center"/>
          </w:tcPr>
          <w:p w14:paraId="601E3675">
            <w:pPr>
              <w:spacing w:line="280" w:lineRule="exact"/>
              <w:jc w:val="center"/>
              <w:rPr>
                <w:rFonts w:ascii="宋体" w:hAnsi="宋体" w:eastAsia="宋体" w:cs="Times New Roman"/>
                <w:bCs/>
                <w:color w:val="auto"/>
                <w:szCs w:val="21"/>
              </w:rPr>
            </w:pPr>
          </w:p>
        </w:tc>
        <w:tc>
          <w:tcPr>
            <w:tcW w:w="689" w:type="dxa"/>
            <w:vAlign w:val="center"/>
          </w:tcPr>
          <w:p w14:paraId="6B72914B">
            <w:pPr>
              <w:spacing w:line="280" w:lineRule="exact"/>
              <w:jc w:val="center"/>
              <w:rPr>
                <w:rFonts w:ascii="宋体" w:hAnsi="宋体" w:eastAsia="宋体" w:cs="Times New Roman"/>
                <w:bCs/>
                <w:color w:val="auto"/>
                <w:szCs w:val="21"/>
              </w:rPr>
            </w:pPr>
          </w:p>
        </w:tc>
        <w:tc>
          <w:tcPr>
            <w:tcW w:w="1503" w:type="dxa"/>
            <w:vAlign w:val="center"/>
          </w:tcPr>
          <w:p w14:paraId="13F67D78">
            <w:pPr>
              <w:spacing w:line="280" w:lineRule="exact"/>
              <w:jc w:val="center"/>
              <w:rPr>
                <w:rFonts w:ascii="宋体" w:hAnsi="宋体" w:eastAsia="宋体" w:cs="Times New Roman"/>
                <w:bCs/>
                <w:color w:val="auto"/>
                <w:szCs w:val="21"/>
              </w:rPr>
            </w:pPr>
          </w:p>
        </w:tc>
        <w:tc>
          <w:tcPr>
            <w:tcW w:w="932" w:type="dxa"/>
            <w:vAlign w:val="center"/>
          </w:tcPr>
          <w:p w14:paraId="071446A5">
            <w:pPr>
              <w:spacing w:line="280" w:lineRule="exact"/>
              <w:jc w:val="center"/>
              <w:rPr>
                <w:rFonts w:ascii="宋体" w:hAnsi="宋体" w:eastAsia="宋体" w:cs="Times New Roman"/>
                <w:bCs/>
                <w:color w:val="auto"/>
                <w:szCs w:val="21"/>
              </w:rPr>
            </w:pPr>
          </w:p>
        </w:tc>
      </w:tr>
      <w:tr w14:paraId="5C2D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699612A2">
            <w:pPr>
              <w:spacing w:line="280" w:lineRule="exact"/>
              <w:jc w:val="center"/>
              <w:rPr>
                <w:rFonts w:ascii="宋体" w:hAnsi="宋体" w:eastAsia="宋体" w:cs="Times New Roman"/>
                <w:bCs/>
                <w:color w:val="auto"/>
                <w:szCs w:val="21"/>
              </w:rPr>
            </w:pPr>
          </w:p>
        </w:tc>
        <w:tc>
          <w:tcPr>
            <w:tcW w:w="725" w:type="dxa"/>
            <w:vAlign w:val="center"/>
          </w:tcPr>
          <w:p w14:paraId="2F99574A">
            <w:pPr>
              <w:spacing w:line="280" w:lineRule="exact"/>
              <w:jc w:val="center"/>
              <w:rPr>
                <w:rFonts w:ascii="宋体" w:hAnsi="宋体" w:eastAsia="宋体" w:cs="Times New Roman"/>
                <w:bCs/>
                <w:color w:val="auto"/>
                <w:szCs w:val="21"/>
              </w:rPr>
            </w:pPr>
          </w:p>
        </w:tc>
        <w:tc>
          <w:tcPr>
            <w:tcW w:w="557" w:type="dxa"/>
          </w:tcPr>
          <w:p w14:paraId="730B6739">
            <w:pPr>
              <w:spacing w:line="280" w:lineRule="exact"/>
              <w:jc w:val="center"/>
              <w:rPr>
                <w:rFonts w:ascii="宋体" w:hAnsi="宋体" w:eastAsia="宋体" w:cs="Times New Roman"/>
                <w:bCs/>
                <w:color w:val="auto"/>
                <w:szCs w:val="21"/>
              </w:rPr>
            </w:pPr>
          </w:p>
        </w:tc>
        <w:tc>
          <w:tcPr>
            <w:tcW w:w="580" w:type="dxa"/>
          </w:tcPr>
          <w:p w14:paraId="6EEC9631">
            <w:pPr>
              <w:spacing w:line="280" w:lineRule="exact"/>
              <w:jc w:val="center"/>
              <w:rPr>
                <w:rFonts w:ascii="宋体" w:hAnsi="宋体" w:eastAsia="宋体" w:cs="Times New Roman"/>
                <w:bCs/>
                <w:color w:val="auto"/>
                <w:szCs w:val="21"/>
              </w:rPr>
            </w:pPr>
          </w:p>
        </w:tc>
        <w:tc>
          <w:tcPr>
            <w:tcW w:w="884" w:type="dxa"/>
          </w:tcPr>
          <w:p w14:paraId="09742C01">
            <w:pPr>
              <w:spacing w:line="280" w:lineRule="exact"/>
              <w:jc w:val="center"/>
              <w:rPr>
                <w:rFonts w:ascii="宋体" w:hAnsi="宋体" w:eastAsia="宋体" w:cs="Times New Roman"/>
                <w:bCs/>
                <w:color w:val="auto"/>
                <w:szCs w:val="21"/>
              </w:rPr>
            </w:pPr>
          </w:p>
        </w:tc>
        <w:tc>
          <w:tcPr>
            <w:tcW w:w="739" w:type="dxa"/>
            <w:vAlign w:val="center"/>
          </w:tcPr>
          <w:p w14:paraId="2780B3F6">
            <w:pPr>
              <w:spacing w:line="280" w:lineRule="exact"/>
              <w:jc w:val="center"/>
              <w:rPr>
                <w:rFonts w:ascii="宋体" w:hAnsi="宋体" w:eastAsia="宋体" w:cs="Times New Roman"/>
                <w:bCs/>
                <w:color w:val="auto"/>
                <w:szCs w:val="21"/>
              </w:rPr>
            </w:pPr>
          </w:p>
        </w:tc>
        <w:tc>
          <w:tcPr>
            <w:tcW w:w="696" w:type="dxa"/>
            <w:vAlign w:val="center"/>
          </w:tcPr>
          <w:p w14:paraId="75E467A8">
            <w:pPr>
              <w:spacing w:line="280" w:lineRule="exact"/>
              <w:jc w:val="center"/>
              <w:rPr>
                <w:rFonts w:ascii="宋体" w:hAnsi="宋体" w:eastAsia="宋体" w:cs="Times New Roman"/>
                <w:bCs/>
                <w:color w:val="auto"/>
                <w:szCs w:val="21"/>
              </w:rPr>
            </w:pPr>
          </w:p>
        </w:tc>
        <w:tc>
          <w:tcPr>
            <w:tcW w:w="551" w:type="dxa"/>
            <w:vAlign w:val="center"/>
          </w:tcPr>
          <w:p w14:paraId="1A30DD6A">
            <w:pPr>
              <w:spacing w:line="280" w:lineRule="exact"/>
              <w:jc w:val="center"/>
              <w:rPr>
                <w:rFonts w:ascii="宋体" w:hAnsi="宋体" w:eastAsia="宋体" w:cs="Times New Roman"/>
                <w:bCs/>
                <w:color w:val="auto"/>
                <w:szCs w:val="21"/>
              </w:rPr>
            </w:pPr>
          </w:p>
        </w:tc>
        <w:tc>
          <w:tcPr>
            <w:tcW w:w="522" w:type="dxa"/>
            <w:vAlign w:val="center"/>
          </w:tcPr>
          <w:p w14:paraId="64B5EA6E">
            <w:pPr>
              <w:spacing w:line="280" w:lineRule="exact"/>
              <w:jc w:val="center"/>
              <w:rPr>
                <w:rFonts w:ascii="宋体" w:hAnsi="宋体" w:eastAsia="宋体" w:cs="Times New Roman"/>
                <w:bCs/>
                <w:color w:val="auto"/>
                <w:szCs w:val="21"/>
              </w:rPr>
            </w:pPr>
          </w:p>
        </w:tc>
        <w:tc>
          <w:tcPr>
            <w:tcW w:w="478" w:type="dxa"/>
            <w:vAlign w:val="center"/>
          </w:tcPr>
          <w:p w14:paraId="4B301343">
            <w:pPr>
              <w:spacing w:line="280" w:lineRule="exact"/>
              <w:jc w:val="center"/>
              <w:rPr>
                <w:rFonts w:ascii="宋体" w:hAnsi="宋体" w:eastAsia="宋体" w:cs="Times New Roman"/>
                <w:bCs/>
                <w:color w:val="auto"/>
                <w:szCs w:val="21"/>
              </w:rPr>
            </w:pPr>
          </w:p>
        </w:tc>
        <w:tc>
          <w:tcPr>
            <w:tcW w:w="646" w:type="dxa"/>
            <w:vAlign w:val="center"/>
          </w:tcPr>
          <w:p w14:paraId="5C35B427">
            <w:pPr>
              <w:spacing w:line="280" w:lineRule="exact"/>
              <w:jc w:val="center"/>
              <w:rPr>
                <w:rFonts w:ascii="宋体" w:hAnsi="宋体" w:eastAsia="宋体" w:cs="Times New Roman"/>
                <w:bCs/>
                <w:color w:val="auto"/>
                <w:szCs w:val="21"/>
              </w:rPr>
            </w:pPr>
          </w:p>
        </w:tc>
        <w:tc>
          <w:tcPr>
            <w:tcW w:w="638" w:type="dxa"/>
            <w:vAlign w:val="center"/>
          </w:tcPr>
          <w:p w14:paraId="5445AAC6">
            <w:pPr>
              <w:spacing w:line="280" w:lineRule="exact"/>
              <w:jc w:val="center"/>
              <w:rPr>
                <w:rFonts w:ascii="宋体" w:hAnsi="宋体" w:eastAsia="宋体" w:cs="Times New Roman"/>
                <w:bCs/>
                <w:color w:val="auto"/>
                <w:szCs w:val="21"/>
              </w:rPr>
            </w:pPr>
          </w:p>
        </w:tc>
        <w:tc>
          <w:tcPr>
            <w:tcW w:w="1261" w:type="dxa"/>
            <w:vAlign w:val="center"/>
          </w:tcPr>
          <w:p w14:paraId="3C080C52">
            <w:pPr>
              <w:spacing w:line="280" w:lineRule="exact"/>
              <w:jc w:val="center"/>
              <w:rPr>
                <w:rFonts w:ascii="宋体" w:hAnsi="宋体" w:eastAsia="宋体" w:cs="Times New Roman"/>
                <w:bCs/>
                <w:color w:val="auto"/>
                <w:szCs w:val="21"/>
              </w:rPr>
            </w:pPr>
          </w:p>
        </w:tc>
        <w:tc>
          <w:tcPr>
            <w:tcW w:w="1348" w:type="dxa"/>
            <w:vAlign w:val="center"/>
          </w:tcPr>
          <w:p w14:paraId="64400D3D">
            <w:pPr>
              <w:spacing w:line="280" w:lineRule="exact"/>
              <w:jc w:val="center"/>
              <w:rPr>
                <w:rFonts w:ascii="宋体" w:hAnsi="宋体" w:eastAsia="宋体" w:cs="Times New Roman"/>
                <w:bCs/>
                <w:color w:val="auto"/>
                <w:szCs w:val="21"/>
              </w:rPr>
            </w:pPr>
          </w:p>
        </w:tc>
        <w:tc>
          <w:tcPr>
            <w:tcW w:w="986" w:type="dxa"/>
            <w:vAlign w:val="center"/>
          </w:tcPr>
          <w:p w14:paraId="5588540B">
            <w:pPr>
              <w:spacing w:line="280" w:lineRule="exact"/>
              <w:jc w:val="center"/>
              <w:rPr>
                <w:rFonts w:ascii="宋体" w:hAnsi="宋体" w:eastAsia="宋体" w:cs="Times New Roman"/>
                <w:bCs/>
                <w:color w:val="auto"/>
                <w:szCs w:val="21"/>
              </w:rPr>
            </w:pPr>
          </w:p>
        </w:tc>
        <w:tc>
          <w:tcPr>
            <w:tcW w:w="689" w:type="dxa"/>
            <w:vAlign w:val="center"/>
          </w:tcPr>
          <w:p w14:paraId="05574CBB">
            <w:pPr>
              <w:spacing w:line="280" w:lineRule="exact"/>
              <w:jc w:val="center"/>
              <w:rPr>
                <w:rFonts w:ascii="宋体" w:hAnsi="宋体" w:eastAsia="宋体" w:cs="Times New Roman"/>
                <w:bCs/>
                <w:color w:val="auto"/>
                <w:szCs w:val="21"/>
              </w:rPr>
            </w:pPr>
          </w:p>
        </w:tc>
        <w:tc>
          <w:tcPr>
            <w:tcW w:w="1503" w:type="dxa"/>
            <w:vAlign w:val="center"/>
          </w:tcPr>
          <w:p w14:paraId="394AAEFE">
            <w:pPr>
              <w:spacing w:line="280" w:lineRule="exact"/>
              <w:jc w:val="center"/>
              <w:rPr>
                <w:rFonts w:ascii="宋体" w:hAnsi="宋体" w:eastAsia="宋体" w:cs="Times New Roman"/>
                <w:bCs/>
                <w:color w:val="auto"/>
                <w:szCs w:val="21"/>
              </w:rPr>
            </w:pPr>
          </w:p>
        </w:tc>
        <w:tc>
          <w:tcPr>
            <w:tcW w:w="932" w:type="dxa"/>
            <w:vAlign w:val="center"/>
          </w:tcPr>
          <w:p w14:paraId="6BFE7C81">
            <w:pPr>
              <w:spacing w:line="280" w:lineRule="exact"/>
              <w:jc w:val="center"/>
              <w:rPr>
                <w:rFonts w:ascii="宋体" w:hAnsi="宋体" w:eastAsia="宋体" w:cs="Times New Roman"/>
                <w:bCs/>
                <w:color w:val="auto"/>
                <w:szCs w:val="21"/>
              </w:rPr>
            </w:pPr>
          </w:p>
        </w:tc>
      </w:tr>
      <w:tr w14:paraId="329D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18258E76">
            <w:pPr>
              <w:spacing w:line="280" w:lineRule="exact"/>
              <w:jc w:val="center"/>
              <w:rPr>
                <w:rFonts w:ascii="宋体" w:hAnsi="宋体" w:eastAsia="宋体" w:cs="Times New Roman"/>
                <w:bCs/>
                <w:color w:val="auto"/>
                <w:szCs w:val="21"/>
              </w:rPr>
            </w:pPr>
          </w:p>
        </w:tc>
        <w:tc>
          <w:tcPr>
            <w:tcW w:w="725" w:type="dxa"/>
            <w:vAlign w:val="center"/>
          </w:tcPr>
          <w:p w14:paraId="67AF297D">
            <w:pPr>
              <w:spacing w:line="280" w:lineRule="exact"/>
              <w:jc w:val="center"/>
              <w:rPr>
                <w:rFonts w:ascii="宋体" w:hAnsi="宋体" w:eastAsia="宋体" w:cs="Times New Roman"/>
                <w:bCs/>
                <w:color w:val="auto"/>
                <w:szCs w:val="21"/>
              </w:rPr>
            </w:pPr>
          </w:p>
        </w:tc>
        <w:tc>
          <w:tcPr>
            <w:tcW w:w="557" w:type="dxa"/>
          </w:tcPr>
          <w:p w14:paraId="2BC52857">
            <w:pPr>
              <w:spacing w:line="280" w:lineRule="exact"/>
              <w:jc w:val="center"/>
              <w:rPr>
                <w:rFonts w:ascii="宋体" w:hAnsi="宋体" w:eastAsia="宋体" w:cs="Times New Roman"/>
                <w:bCs/>
                <w:color w:val="auto"/>
                <w:szCs w:val="21"/>
              </w:rPr>
            </w:pPr>
          </w:p>
        </w:tc>
        <w:tc>
          <w:tcPr>
            <w:tcW w:w="580" w:type="dxa"/>
          </w:tcPr>
          <w:p w14:paraId="70EEDE91">
            <w:pPr>
              <w:spacing w:line="280" w:lineRule="exact"/>
              <w:jc w:val="center"/>
              <w:rPr>
                <w:rFonts w:ascii="宋体" w:hAnsi="宋体" w:eastAsia="宋体" w:cs="Times New Roman"/>
                <w:bCs/>
                <w:color w:val="auto"/>
                <w:szCs w:val="21"/>
              </w:rPr>
            </w:pPr>
          </w:p>
        </w:tc>
        <w:tc>
          <w:tcPr>
            <w:tcW w:w="884" w:type="dxa"/>
          </w:tcPr>
          <w:p w14:paraId="621C147F">
            <w:pPr>
              <w:spacing w:line="280" w:lineRule="exact"/>
              <w:jc w:val="center"/>
              <w:rPr>
                <w:rFonts w:ascii="宋体" w:hAnsi="宋体" w:eastAsia="宋体" w:cs="Times New Roman"/>
                <w:bCs/>
                <w:color w:val="auto"/>
                <w:szCs w:val="21"/>
              </w:rPr>
            </w:pPr>
          </w:p>
        </w:tc>
        <w:tc>
          <w:tcPr>
            <w:tcW w:w="739" w:type="dxa"/>
            <w:vAlign w:val="center"/>
          </w:tcPr>
          <w:p w14:paraId="632AB0BB">
            <w:pPr>
              <w:spacing w:line="280" w:lineRule="exact"/>
              <w:jc w:val="center"/>
              <w:rPr>
                <w:rFonts w:ascii="宋体" w:hAnsi="宋体" w:eastAsia="宋体" w:cs="Times New Roman"/>
                <w:bCs/>
                <w:color w:val="auto"/>
                <w:szCs w:val="21"/>
              </w:rPr>
            </w:pPr>
          </w:p>
        </w:tc>
        <w:tc>
          <w:tcPr>
            <w:tcW w:w="696" w:type="dxa"/>
            <w:vAlign w:val="center"/>
          </w:tcPr>
          <w:p w14:paraId="55880A8F">
            <w:pPr>
              <w:spacing w:line="280" w:lineRule="exact"/>
              <w:jc w:val="center"/>
              <w:rPr>
                <w:rFonts w:ascii="宋体" w:hAnsi="宋体" w:eastAsia="宋体" w:cs="Times New Roman"/>
                <w:bCs/>
                <w:color w:val="auto"/>
                <w:szCs w:val="21"/>
              </w:rPr>
            </w:pPr>
          </w:p>
        </w:tc>
        <w:tc>
          <w:tcPr>
            <w:tcW w:w="551" w:type="dxa"/>
            <w:vAlign w:val="center"/>
          </w:tcPr>
          <w:p w14:paraId="0AB84DE6">
            <w:pPr>
              <w:spacing w:line="280" w:lineRule="exact"/>
              <w:jc w:val="center"/>
              <w:rPr>
                <w:rFonts w:ascii="宋体" w:hAnsi="宋体" w:eastAsia="宋体" w:cs="Times New Roman"/>
                <w:bCs/>
                <w:color w:val="auto"/>
                <w:szCs w:val="21"/>
              </w:rPr>
            </w:pPr>
          </w:p>
        </w:tc>
        <w:tc>
          <w:tcPr>
            <w:tcW w:w="522" w:type="dxa"/>
            <w:vAlign w:val="center"/>
          </w:tcPr>
          <w:p w14:paraId="7B4A5C07">
            <w:pPr>
              <w:spacing w:line="280" w:lineRule="exact"/>
              <w:jc w:val="center"/>
              <w:rPr>
                <w:rFonts w:ascii="宋体" w:hAnsi="宋体" w:eastAsia="宋体" w:cs="Times New Roman"/>
                <w:bCs/>
                <w:color w:val="auto"/>
                <w:szCs w:val="21"/>
              </w:rPr>
            </w:pPr>
          </w:p>
        </w:tc>
        <w:tc>
          <w:tcPr>
            <w:tcW w:w="478" w:type="dxa"/>
            <w:vAlign w:val="center"/>
          </w:tcPr>
          <w:p w14:paraId="3661E026">
            <w:pPr>
              <w:spacing w:line="280" w:lineRule="exact"/>
              <w:jc w:val="center"/>
              <w:rPr>
                <w:rFonts w:ascii="宋体" w:hAnsi="宋体" w:eastAsia="宋体" w:cs="Times New Roman"/>
                <w:bCs/>
                <w:color w:val="auto"/>
                <w:szCs w:val="21"/>
              </w:rPr>
            </w:pPr>
          </w:p>
        </w:tc>
        <w:tc>
          <w:tcPr>
            <w:tcW w:w="646" w:type="dxa"/>
            <w:vAlign w:val="center"/>
          </w:tcPr>
          <w:p w14:paraId="74A63B9F">
            <w:pPr>
              <w:spacing w:line="280" w:lineRule="exact"/>
              <w:jc w:val="center"/>
              <w:rPr>
                <w:rFonts w:ascii="宋体" w:hAnsi="宋体" w:eastAsia="宋体" w:cs="Times New Roman"/>
                <w:bCs/>
                <w:color w:val="auto"/>
                <w:szCs w:val="21"/>
              </w:rPr>
            </w:pPr>
          </w:p>
        </w:tc>
        <w:tc>
          <w:tcPr>
            <w:tcW w:w="638" w:type="dxa"/>
            <w:vAlign w:val="center"/>
          </w:tcPr>
          <w:p w14:paraId="76614D11">
            <w:pPr>
              <w:spacing w:line="280" w:lineRule="exact"/>
              <w:jc w:val="center"/>
              <w:rPr>
                <w:rFonts w:ascii="宋体" w:hAnsi="宋体" w:eastAsia="宋体" w:cs="Times New Roman"/>
                <w:bCs/>
                <w:color w:val="auto"/>
                <w:szCs w:val="21"/>
              </w:rPr>
            </w:pPr>
          </w:p>
        </w:tc>
        <w:tc>
          <w:tcPr>
            <w:tcW w:w="1261" w:type="dxa"/>
            <w:vAlign w:val="center"/>
          </w:tcPr>
          <w:p w14:paraId="30A03222">
            <w:pPr>
              <w:spacing w:line="280" w:lineRule="exact"/>
              <w:jc w:val="center"/>
              <w:rPr>
                <w:rFonts w:ascii="宋体" w:hAnsi="宋体" w:eastAsia="宋体" w:cs="Times New Roman"/>
                <w:bCs/>
                <w:color w:val="auto"/>
                <w:szCs w:val="21"/>
              </w:rPr>
            </w:pPr>
          </w:p>
        </w:tc>
        <w:tc>
          <w:tcPr>
            <w:tcW w:w="1348" w:type="dxa"/>
            <w:vAlign w:val="center"/>
          </w:tcPr>
          <w:p w14:paraId="026927F3">
            <w:pPr>
              <w:spacing w:line="280" w:lineRule="exact"/>
              <w:jc w:val="center"/>
              <w:rPr>
                <w:rFonts w:ascii="宋体" w:hAnsi="宋体" w:eastAsia="宋体" w:cs="Times New Roman"/>
                <w:bCs/>
                <w:color w:val="auto"/>
                <w:szCs w:val="21"/>
              </w:rPr>
            </w:pPr>
          </w:p>
        </w:tc>
        <w:tc>
          <w:tcPr>
            <w:tcW w:w="986" w:type="dxa"/>
            <w:vAlign w:val="center"/>
          </w:tcPr>
          <w:p w14:paraId="636664F8">
            <w:pPr>
              <w:spacing w:line="280" w:lineRule="exact"/>
              <w:jc w:val="center"/>
              <w:rPr>
                <w:rFonts w:ascii="宋体" w:hAnsi="宋体" w:eastAsia="宋体" w:cs="Times New Roman"/>
                <w:bCs/>
                <w:color w:val="auto"/>
                <w:szCs w:val="21"/>
              </w:rPr>
            </w:pPr>
          </w:p>
        </w:tc>
        <w:tc>
          <w:tcPr>
            <w:tcW w:w="689" w:type="dxa"/>
            <w:vAlign w:val="center"/>
          </w:tcPr>
          <w:p w14:paraId="69CC6904">
            <w:pPr>
              <w:spacing w:line="280" w:lineRule="exact"/>
              <w:jc w:val="center"/>
              <w:rPr>
                <w:rFonts w:ascii="宋体" w:hAnsi="宋体" w:eastAsia="宋体" w:cs="Times New Roman"/>
                <w:bCs/>
                <w:color w:val="auto"/>
                <w:szCs w:val="21"/>
              </w:rPr>
            </w:pPr>
          </w:p>
        </w:tc>
        <w:tc>
          <w:tcPr>
            <w:tcW w:w="1503" w:type="dxa"/>
            <w:vAlign w:val="center"/>
          </w:tcPr>
          <w:p w14:paraId="7D74D239">
            <w:pPr>
              <w:spacing w:line="280" w:lineRule="exact"/>
              <w:jc w:val="center"/>
              <w:rPr>
                <w:rFonts w:ascii="宋体" w:hAnsi="宋体" w:eastAsia="宋体" w:cs="Times New Roman"/>
                <w:bCs/>
                <w:color w:val="auto"/>
                <w:szCs w:val="21"/>
              </w:rPr>
            </w:pPr>
          </w:p>
        </w:tc>
        <w:tc>
          <w:tcPr>
            <w:tcW w:w="932" w:type="dxa"/>
            <w:vAlign w:val="center"/>
          </w:tcPr>
          <w:p w14:paraId="1373F3CF">
            <w:pPr>
              <w:spacing w:line="280" w:lineRule="exact"/>
              <w:jc w:val="center"/>
              <w:rPr>
                <w:rFonts w:ascii="宋体" w:hAnsi="宋体" w:eastAsia="宋体" w:cs="Times New Roman"/>
                <w:bCs/>
                <w:color w:val="auto"/>
                <w:szCs w:val="21"/>
              </w:rPr>
            </w:pPr>
          </w:p>
        </w:tc>
      </w:tr>
      <w:tr w14:paraId="051C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0" w:type="dxa"/>
            <w:vAlign w:val="center"/>
          </w:tcPr>
          <w:p w14:paraId="39E83A7E">
            <w:pPr>
              <w:spacing w:line="280" w:lineRule="exact"/>
              <w:jc w:val="center"/>
              <w:rPr>
                <w:rFonts w:ascii="宋体" w:hAnsi="宋体" w:eastAsia="宋体" w:cs="Times New Roman"/>
                <w:bCs/>
                <w:color w:val="auto"/>
                <w:szCs w:val="21"/>
              </w:rPr>
            </w:pPr>
          </w:p>
        </w:tc>
        <w:tc>
          <w:tcPr>
            <w:tcW w:w="725" w:type="dxa"/>
            <w:vAlign w:val="center"/>
          </w:tcPr>
          <w:p w14:paraId="5FF82C67">
            <w:pPr>
              <w:spacing w:line="280" w:lineRule="exact"/>
              <w:jc w:val="center"/>
              <w:rPr>
                <w:rFonts w:ascii="宋体" w:hAnsi="宋体" w:eastAsia="宋体" w:cs="Times New Roman"/>
                <w:bCs/>
                <w:color w:val="auto"/>
                <w:szCs w:val="21"/>
              </w:rPr>
            </w:pPr>
          </w:p>
        </w:tc>
        <w:tc>
          <w:tcPr>
            <w:tcW w:w="557" w:type="dxa"/>
          </w:tcPr>
          <w:p w14:paraId="7B65895E">
            <w:pPr>
              <w:spacing w:line="280" w:lineRule="exact"/>
              <w:jc w:val="center"/>
              <w:rPr>
                <w:rFonts w:ascii="宋体" w:hAnsi="宋体" w:eastAsia="宋体" w:cs="Times New Roman"/>
                <w:bCs/>
                <w:color w:val="auto"/>
                <w:szCs w:val="21"/>
              </w:rPr>
            </w:pPr>
          </w:p>
        </w:tc>
        <w:tc>
          <w:tcPr>
            <w:tcW w:w="580" w:type="dxa"/>
          </w:tcPr>
          <w:p w14:paraId="471DF32F">
            <w:pPr>
              <w:spacing w:line="280" w:lineRule="exact"/>
              <w:jc w:val="center"/>
              <w:rPr>
                <w:rFonts w:ascii="宋体" w:hAnsi="宋体" w:eastAsia="宋体" w:cs="Times New Roman"/>
                <w:bCs/>
                <w:color w:val="auto"/>
                <w:szCs w:val="21"/>
              </w:rPr>
            </w:pPr>
          </w:p>
        </w:tc>
        <w:tc>
          <w:tcPr>
            <w:tcW w:w="884" w:type="dxa"/>
          </w:tcPr>
          <w:p w14:paraId="7DBCBEC9">
            <w:pPr>
              <w:spacing w:line="280" w:lineRule="exact"/>
              <w:jc w:val="center"/>
              <w:rPr>
                <w:rFonts w:ascii="宋体" w:hAnsi="宋体" w:eastAsia="宋体" w:cs="Times New Roman"/>
                <w:bCs/>
                <w:color w:val="auto"/>
                <w:szCs w:val="21"/>
              </w:rPr>
            </w:pPr>
          </w:p>
        </w:tc>
        <w:tc>
          <w:tcPr>
            <w:tcW w:w="739" w:type="dxa"/>
            <w:vAlign w:val="center"/>
          </w:tcPr>
          <w:p w14:paraId="77DB7765">
            <w:pPr>
              <w:spacing w:line="280" w:lineRule="exact"/>
              <w:jc w:val="center"/>
              <w:rPr>
                <w:rFonts w:ascii="宋体" w:hAnsi="宋体" w:eastAsia="宋体" w:cs="Times New Roman"/>
                <w:bCs/>
                <w:color w:val="auto"/>
                <w:szCs w:val="21"/>
              </w:rPr>
            </w:pPr>
          </w:p>
        </w:tc>
        <w:tc>
          <w:tcPr>
            <w:tcW w:w="696" w:type="dxa"/>
            <w:vAlign w:val="center"/>
          </w:tcPr>
          <w:p w14:paraId="45460A1B">
            <w:pPr>
              <w:spacing w:line="280" w:lineRule="exact"/>
              <w:jc w:val="center"/>
              <w:rPr>
                <w:rFonts w:ascii="宋体" w:hAnsi="宋体" w:eastAsia="宋体" w:cs="Times New Roman"/>
                <w:bCs/>
                <w:color w:val="auto"/>
                <w:szCs w:val="21"/>
              </w:rPr>
            </w:pPr>
          </w:p>
        </w:tc>
        <w:tc>
          <w:tcPr>
            <w:tcW w:w="551" w:type="dxa"/>
            <w:vAlign w:val="center"/>
          </w:tcPr>
          <w:p w14:paraId="5B88654F">
            <w:pPr>
              <w:spacing w:line="280" w:lineRule="exact"/>
              <w:jc w:val="center"/>
              <w:rPr>
                <w:rFonts w:ascii="宋体" w:hAnsi="宋体" w:eastAsia="宋体" w:cs="Times New Roman"/>
                <w:bCs/>
                <w:color w:val="auto"/>
                <w:szCs w:val="21"/>
              </w:rPr>
            </w:pPr>
          </w:p>
        </w:tc>
        <w:tc>
          <w:tcPr>
            <w:tcW w:w="522" w:type="dxa"/>
            <w:vAlign w:val="center"/>
          </w:tcPr>
          <w:p w14:paraId="45E0A9DD">
            <w:pPr>
              <w:spacing w:line="280" w:lineRule="exact"/>
              <w:jc w:val="center"/>
              <w:rPr>
                <w:rFonts w:ascii="宋体" w:hAnsi="宋体" w:eastAsia="宋体" w:cs="Times New Roman"/>
                <w:bCs/>
                <w:color w:val="auto"/>
                <w:szCs w:val="21"/>
              </w:rPr>
            </w:pPr>
          </w:p>
        </w:tc>
        <w:tc>
          <w:tcPr>
            <w:tcW w:w="478" w:type="dxa"/>
            <w:vAlign w:val="center"/>
          </w:tcPr>
          <w:p w14:paraId="4CCC2BDF">
            <w:pPr>
              <w:spacing w:line="280" w:lineRule="exact"/>
              <w:jc w:val="center"/>
              <w:rPr>
                <w:rFonts w:ascii="宋体" w:hAnsi="宋体" w:eastAsia="宋体" w:cs="Times New Roman"/>
                <w:bCs/>
                <w:color w:val="auto"/>
                <w:szCs w:val="21"/>
              </w:rPr>
            </w:pPr>
          </w:p>
        </w:tc>
        <w:tc>
          <w:tcPr>
            <w:tcW w:w="646" w:type="dxa"/>
            <w:vAlign w:val="center"/>
          </w:tcPr>
          <w:p w14:paraId="6EDC0D27">
            <w:pPr>
              <w:spacing w:line="280" w:lineRule="exact"/>
              <w:jc w:val="center"/>
              <w:rPr>
                <w:rFonts w:ascii="宋体" w:hAnsi="宋体" w:eastAsia="宋体" w:cs="Times New Roman"/>
                <w:bCs/>
                <w:color w:val="auto"/>
                <w:szCs w:val="21"/>
              </w:rPr>
            </w:pPr>
          </w:p>
        </w:tc>
        <w:tc>
          <w:tcPr>
            <w:tcW w:w="638" w:type="dxa"/>
            <w:vAlign w:val="center"/>
          </w:tcPr>
          <w:p w14:paraId="167E49ED">
            <w:pPr>
              <w:spacing w:line="280" w:lineRule="exact"/>
              <w:jc w:val="center"/>
              <w:rPr>
                <w:rFonts w:ascii="宋体" w:hAnsi="宋体" w:eastAsia="宋体" w:cs="Times New Roman"/>
                <w:bCs/>
                <w:color w:val="auto"/>
                <w:szCs w:val="21"/>
              </w:rPr>
            </w:pPr>
          </w:p>
        </w:tc>
        <w:tc>
          <w:tcPr>
            <w:tcW w:w="1261" w:type="dxa"/>
            <w:vAlign w:val="center"/>
          </w:tcPr>
          <w:p w14:paraId="6246BC4A">
            <w:pPr>
              <w:spacing w:line="280" w:lineRule="exact"/>
              <w:jc w:val="center"/>
              <w:rPr>
                <w:rFonts w:ascii="宋体" w:hAnsi="宋体" w:eastAsia="宋体" w:cs="Times New Roman"/>
                <w:bCs/>
                <w:color w:val="auto"/>
                <w:szCs w:val="21"/>
              </w:rPr>
            </w:pPr>
          </w:p>
        </w:tc>
        <w:tc>
          <w:tcPr>
            <w:tcW w:w="1348" w:type="dxa"/>
            <w:vAlign w:val="center"/>
          </w:tcPr>
          <w:p w14:paraId="5BCCC23D">
            <w:pPr>
              <w:spacing w:line="280" w:lineRule="exact"/>
              <w:jc w:val="center"/>
              <w:rPr>
                <w:rFonts w:ascii="宋体" w:hAnsi="宋体" w:eastAsia="宋体" w:cs="Times New Roman"/>
                <w:bCs/>
                <w:color w:val="auto"/>
                <w:szCs w:val="21"/>
              </w:rPr>
            </w:pPr>
          </w:p>
        </w:tc>
        <w:tc>
          <w:tcPr>
            <w:tcW w:w="986" w:type="dxa"/>
            <w:vAlign w:val="center"/>
          </w:tcPr>
          <w:p w14:paraId="4D06318D">
            <w:pPr>
              <w:spacing w:line="280" w:lineRule="exact"/>
              <w:jc w:val="center"/>
              <w:rPr>
                <w:rFonts w:ascii="宋体" w:hAnsi="宋体" w:eastAsia="宋体" w:cs="Times New Roman"/>
                <w:bCs/>
                <w:color w:val="auto"/>
                <w:szCs w:val="21"/>
              </w:rPr>
            </w:pPr>
          </w:p>
        </w:tc>
        <w:tc>
          <w:tcPr>
            <w:tcW w:w="689" w:type="dxa"/>
            <w:vAlign w:val="center"/>
          </w:tcPr>
          <w:p w14:paraId="3AC65CBC">
            <w:pPr>
              <w:spacing w:line="280" w:lineRule="exact"/>
              <w:jc w:val="center"/>
              <w:rPr>
                <w:rFonts w:ascii="宋体" w:hAnsi="宋体" w:eastAsia="宋体" w:cs="Times New Roman"/>
                <w:bCs/>
                <w:color w:val="auto"/>
                <w:szCs w:val="21"/>
              </w:rPr>
            </w:pPr>
          </w:p>
        </w:tc>
        <w:tc>
          <w:tcPr>
            <w:tcW w:w="1503" w:type="dxa"/>
            <w:vAlign w:val="center"/>
          </w:tcPr>
          <w:p w14:paraId="4247116E">
            <w:pPr>
              <w:spacing w:line="280" w:lineRule="exact"/>
              <w:jc w:val="center"/>
              <w:rPr>
                <w:rFonts w:ascii="宋体" w:hAnsi="宋体" w:eastAsia="宋体" w:cs="Times New Roman"/>
                <w:bCs/>
                <w:color w:val="auto"/>
                <w:szCs w:val="21"/>
              </w:rPr>
            </w:pPr>
          </w:p>
        </w:tc>
        <w:tc>
          <w:tcPr>
            <w:tcW w:w="932" w:type="dxa"/>
            <w:vAlign w:val="center"/>
          </w:tcPr>
          <w:p w14:paraId="70909E92">
            <w:pPr>
              <w:spacing w:line="280" w:lineRule="exact"/>
              <w:jc w:val="center"/>
              <w:rPr>
                <w:rFonts w:ascii="宋体" w:hAnsi="宋体" w:eastAsia="宋体" w:cs="Times New Roman"/>
                <w:bCs/>
                <w:color w:val="auto"/>
                <w:szCs w:val="21"/>
              </w:rPr>
            </w:pPr>
          </w:p>
        </w:tc>
      </w:tr>
    </w:tbl>
    <w:p w14:paraId="78C2A43D">
      <w:pPr>
        <w:rPr>
          <w:rFonts w:hint="eastAsia" w:ascii="宋体" w:hAnsi="宋体" w:eastAsia="宋体" w:cs="Times New Roman"/>
          <w:color w:val="auto"/>
          <w:sz w:val="24"/>
          <w:szCs w:val="24"/>
          <w:u w:val="single"/>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Times New Roman"/>
          <w:color w:val="auto"/>
          <w:sz w:val="24"/>
          <w:szCs w:val="24"/>
        </w:rPr>
        <w:t>填表单位：</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（盖章）               名册月份：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              填表日期：</w:t>
      </w:r>
      <w:r>
        <w:rPr>
          <w:rFonts w:hint="eastAsia" w:ascii="宋体" w:hAnsi="宋体" w:eastAsia="宋体" w:cs="Times New Roman"/>
          <w:color w:val="auto"/>
          <w:sz w:val="24"/>
          <w:szCs w:val="24"/>
          <w:u w:val="single"/>
        </w:rPr>
        <w:t xml:space="preserve">               </w:t>
      </w:r>
    </w:p>
    <w:p w14:paraId="37D6009B">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6C95DFD9">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31D5F5F0">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106D3B85">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62668C3">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C3A1F10">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13E163E4">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E403E96">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23F8B6F">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4508285E">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0D4AB585">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33F0612F">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904E85A">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3C6915AD">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3449F264">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08B945DB">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08116800">
      <w:pPr>
        <w:pStyle w:val="13"/>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14:paraId="73B23FC0">
      <w:pPr>
        <w:pStyle w:val="2"/>
        <w:keepNext w:val="0"/>
        <w:keepLines w:val="0"/>
        <w:pageBreakBefore w:val="0"/>
        <w:widowControl w:val="0"/>
        <w:kinsoku/>
        <w:wordWrap/>
        <w:overflowPunct/>
        <w:topLinePunct w:val="0"/>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rPr>
      </w:pPr>
    </w:p>
    <w:p w14:paraId="705789F5">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14:paraId="12B8C130">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14:paraId="513D91D6">
      <w:pPr>
        <w:pStyle w:val="2"/>
        <w:keepNext w:val="0"/>
        <w:keepLines w:val="0"/>
        <w:pageBreakBefore w:val="0"/>
        <w:widowControl w:val="0"/>
        <w:kinsoku/>
        <w:wordWrap/>
        <w:overflowPunct/>
        <w:topLinePunct w:val="0"/>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rPr>
      </w:pPr>
    </w:p>
    <w:p w14:paraId="73B4BAA1">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2yOvNQAAAAEAQAADwAAAAAAAAABACAAAAAiAAAAZHJzL2Rvd25yZXYueG1s&#10;UEsBAhQAFAAAAAgAh07iQH/+ar38AQAA7wMAAA4AAAAAAAAAAQAgAAAAIw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Q6e3dMAAAAGAQAADwAAAAAAAAABACAAAAAiAAAAZHJzL2Rvd25yZXYueG1sUEsB&#10;AhQAFAAAAAgAh07iQK9zK5T6AQAA7gMAAA4AAAAAAAAAAQAgAAAAIgEAAGRycy9lMm9Eb2MueG1s&#10;UEsFBgAAAAAGAAYAWQEAAI4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日印发</w:t>
      </w:r>
    </w:p>
    <w:p w14:paraId="76DEC445">
      <w:pPr>
        <w:pStyle w:val="4"/>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ascii="仿宋_GB2312" w:eastAsia="仿宋_GB2312"/>
          <w:color w:val="auto"/>
          <w:sz w:val="32"/>
          <w:szCs w:val="32"/>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60QidYAAAAGAQAADwAAAAAAAAABACAAAAAiAAAAZHJzL2Rvd25yZXYueG1s&#10;UEsBAhQAFAAAAAgAh07iQEBG9cD6AQAA8wMAAA4AAAAAAAAAAQAgAAAAJQ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刘容秀</w:t>
      </w:r>
    </w:p>
    <w:sectPr>
      <w:footerReference r:id="rId4"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7D5A">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2317C">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952317C">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FA9D">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 w:name="KSO_WPS_MARK_KEY" w:val="8895c26d-f4d8-479f-97b6-9120ccaf819c"/>
  </w:docVars>
  <w:rsids>
    <w:rsidRoot w:val="003A2518"/>
    <w:rsid w:val="00007239"/>
    <w:rsid w:val="000172C9"/>
    <w:rsid w:val="00031B71"/>
    <w:rsid w:val="0004350B"/>
    <w:rsid w:val="00046D05"/>
    <w:rsid w:val="000501A1"/>
    <w:rsid w:val="000507E1"/>
    <w:rsid w:val="00054482"/>
    <w:rsid w:val="00061B03"/>
    <w:rsid w:val="00071697"/>
    <w:rsid w:val="00072666"/>
    <w:rsid w:val="00074D5B"/>
    <w:rsid w:val="0008019E"/>
    <w:rsid w:val="00081EFD"/>
    <w:rsid w:val="000823F0"/>
    <w:rsid w:val="000B221D"/>
    <w:rsid w:val="000B2ECF"/>
    <w:rsid w:val="000C1937"/>
    <w:rsid w:val="000D1DA5"/>
    <w:rsid w:val="000F2CEE"/>
    <w:rsid w:val="0011103F"/>
    <w:rsid w:val="0011585E"/>
    <w:rsid w:val="00115A2F"/>
    <w:rsid w:val="00120CE6"/>
    <w:rsid w:val="001215FF"/>
    <w:rsid w:val="001331AF"/>
    <w:rsid w:val="00143709"/>
    <w:rsid w:val="0015719C"/>
    <w:rsid w:val="00160D1F"/>
    <w:rsid w:val="00161DE5"/>
    <w:rsid w:val="001665F8"/>
    <w:rsid w:val="00177EB5"/>
    <w:rsid w:val="001847F2"/>
    <w:rsid w:val="00190A9D"/>
    <w:rsid w:val="00195CBC"/>
    <w:rsid w:val="001B3C93"/>
    <w:rsid w:val="001F7DB3"/>
    <w:rsid w:val="002023A8"/>
    <w:rsid w:val="002052E0"/>
    <w:rsid w:val="00215AA0"/>
    <w:rsid w:val="002246BC"/>
    <w:rsid w:val="00250781"/>
    <w:rsid w:val="00253727"/>
    <w:rsid w:val="00262601"/>
    <w:rsid w:val="00262F1C"/>
    <w:rsid w:val="00275FFC"/>
    <w:rsid w:val="00292CAE"/>
    <w:rsid w:val="002A2540"/>
    <w:rsid w:val="002B183E"/>
    <w:rsid w:val="002C2C58"/>
    <w:rsid w:val="002E5088"/>
    <w:rsid w:val="002E612F"/>
    <w:rsid w:val="002E713E"/>
    <w:rsid w:val="003023DD"/>
    <w:rsid w:val="0030697E"/>
    <w:rsid w:val="003101DF"/>
    <w:rsid w:val="00311E67"/>
    <w:rsid w:val="003310E2"/>
    <w:rsid w:val="003328C9"/>
    <w:rsid w:val="0034561E"/>
    <w:rsid w:val="00363721"/>
    <w:rsid w:val="003850C3"/>
    <w:rsid w:val="003A2518"/>
    <w:rsid w:val="003B5DED"/>
    <w:rsid w:val="003B60BF"/>
    <w:rsid w:val="003C06F6"/>
    <w:rsid w:val="003D2085"/>
    <w:rsid w:val="0040526B"/>
    <w:rsid w:val="004227E7"/>
    <w:rsid w:val="00425EDC"/>
    <w:rsid w:val="00440B3D"/>
    <w:rsid w:val="00451A44"/>
    <w:rsid w:val="00453C4A"/>
    <w:rsid w:val="004559E4"/>
    <w:rsid w:val="004B6982"/>
    <w:rsid w:val="004B6A95"/>
    <w:rsid w:val="004C2B79"/>
    <w:rsid w:val="004D6326"/>
    <w:rsid w:val="004E1EF3"/>
    <w:rsid w:val="004F72BB"/>
    <w:rsid w:val="00503FF1"/>
    <w:rsid w:val="00511EAE"/>
    <w:rsid w:val="00515264"/>
    <w:rsid w:val="0052712A"/>
    <w:rsid w:val="005318CC"/>
    <w:rsid w:val="005364ED"/>
    <w:rsid w:val="005419B5"/>
    <w:rsid w:val="0054472E"/>
    <w:rsid w:val="00565FA5"/>
    <w:rsid w:val="0057628E"/>
    <w:rsid w:val="00583129"/>
    <w:rsid w:val="00594002"/>
    <w:rsid w:val="005A2CD0"/>
    <w:rsid w:val="005B0791"/>
    <w:rsid w:val="005B13D0"/>
    <w:rsid w:val="005B236D"/>
    <w:rsid w:val="005C5AC8"/>
    <w:rsid w:val="005D44E5"/>
    <w:rsid w:val="005D7587"/>
    <w:rsid w:val="005D766B"/>
    <w:rsid w:val="005E391F"/>
    <w:rsid w:val="005E3C7F"/>
    <w:rsid w:val="005F2681"/>
    <w:rsid w:val="006045F9"/>
    <w:rsid w:val="006127B4"/>
    <w:rsid w:val="00612F4E"/>
    <w:rsid w:val="006147A1"/>
    <w:rsid w:val="00616DC3"/>
    <w:rsid w:val="00620267"/>
    <w:rsid w:val="00634980"/>
    <w:rsid w:val="00634E5D"/>
    <w:rsid w:val="0063513C"/>
    <w:rsid w:val="00641126"/>
    <w:rsid w:val="00660123"/>
    <w:rsid w:val="0067004B"/>
    <w:rsid w:val="006848F0"/>
    <w:rsid w:val="006A0420"/>
    <w:rsid w:val="006A333D"/>
    <w:rsid w:val="006A3D16"/>
    <w:rsid w:val="006A7E61"/>
    <w:rsid w:val="006E2932"/>
    <w:rsid w:val="006E652D"/>
    <w:rsid w:val="006F2CD8"/>
    <w:rsid w:val="006F2F2A"/>
    <w:rsid w:val="006F7BB6"/>
    <w:rsid w:val="00710A68"/>
    <w:rsid w:val="00712214"/>
    <w:rsid w:val="007128AF"/>
    <w:rsid w:val="007173F4"/>
    <w:rsid w:val="00750C67"/>
    <w:rsid w:val="007611EE"/>
    <w:rsid w:val="00775EA9"/>
    <w:rsid w:val="00780C9F"/>
    <w:rsid w:val="007849FB"/>
    <w:rsid w:val="00792369"/>
    <w:rsid w:val="00793338"/>
    <w:rsid w:val="007B5107"/>
    <w:rsid w:val="007E0778"/>
    <w:rsid w:val="007E4E73"/>
    <w:rsid w:val="007E68AD"/>
    <w:rsid w:val="00803A85"/>
    <w:rsid w:val="0082741A"/>
    <w:rsid w:val="00827559"/>
    <w:rsid w:val="00830B74"/>
    <w:rsid w:val="00831304"/>
    <w:rsid w:val="00835A80"/>
    <w:rsid w:val="00852062"/>
    <w:rsid w:val="00876831"/>
    <w:rsid w:val="00885F1A"/>
    <w:rsid w:val="00892FB4"/>
    <w:rsid w:val="00894BBB"/>
    <w:rsid w:val="008A133D"/>
    <w:rsid w:val="008B070F"/>
    <w:rsid w:val="008B4209"/>
    <w:rsid w:val="008B4A63"/>
    <w:rsid w:val="008C22F4"/>
    <w:rsid w:val="008E032A"/>
    <w:rsid w:val="008E5D82"/>
    <w:rsid w:val="008F1DC8"/>
    <w:rsid w:val="00906B9E"/>
    <w:rsid w:val="00912B79"/>
    <w:rsid w:val="009147E8"/>
    <w:rsid w:val="009210E9"/>
    <w:rsid w:val="00935280"/>
    <w:rsid w:val="00935AC1"/>
    <w:rsid w:val="00942728"/>
    <w:rsid w:val="009557AF"/>
    <w:rsid w:val="00962E29"/>
    <w:rsid w:val="00964571"/>
    <w:rsid w:val="00965615"/>
    <w:rsid w:val="0097496D"/>
    <w:rsid w:val="00974E9F"/>
    <w:rsid w:val="00976D2F"/>
    <w:rsid w:val="009775A6"/>
    <w:rsid w:val="009873E0"/>
    <w:rsid w:val="009914E2"/>
    <w:rsid w:val="009924C2"/>
    <w:rsid w:val="009D1A96"/>
    <w:rsid w:val="009D424C"/>
    <w:rsid w:val="009E31CF"/>
    <w:rsid w:val="009E3B53"/>
    <w:rsid w:val="009F4D53"/>
    <w:rsid w:val="009F71ED"/>
    <w:rsid w:val="00A20C4D"/>
    <w:rsid w:val="00A37A1D"/>
    <w:rsid w:val="00A45844"/>
    <w:rsid w:val="00A51DD5"/>
    <w:rsid w:val="00A57113"/>
    <w:rsid w:val="00A60404"/>
    <w:rsid w:val="00A716EF"/>
    <w:rsid w:val="00A71A47"/>
    <w:rsid w:val="00A81A3E"/>
    <w:rsid w:val="00A83669"/>
    <w:rsid w:val="00A84DED"/>
    <w:rsid w:val="00AA225C"/>
    <w:rsid w:val="00AA2D7A"/>
    <w:rsid w:val="00AB2696"/>
    <w:rsid w:val="00AB5D08"/>
    <w:rsid w:val="00AC46E9"/>
    <w:rsid w:val="00AC76EC"/>
    <w:rsid w:val="00AF10F9"/>
    <w:rsid w:val="00AF2810"/>
    <w:rsid w:val="00B02D4D"/>
    <w:rsid w:val="00B175FA"/>
    <w:rsid w:val="00B22E8C"/>
    <w:rsid w:val="00B3074C"/>
    <w:rsid w:val="00B32D06"/>
    <w:rsid w:val="00B35362"/>
    <w:rsid w:val="00B52284"/>
    <w:rsid w:val="00B53EA3"/>
    <w:rsid w:val="00B612A8"/>
    <w:rsid w:val="00B65C32"/>
    <w:rsid w:val="00B70DF1"/>
    <w:rsid w:val="00B830D3"/>
    <w:rsid w:val="00B83994"/>
    <w:rsid w:val="00BA3B3C"/>
    <w:rsid w:val="00BA702A"/>
    <w:rsid w:val="00BB414A"/>
    <w:rsid w:val="00BB69AE"/>
    <w:rsid w:val="00BD6001"/>
    <w:rsid w:val="00BF4177"/>
    <w:rsid w:val="00C07C27"/>
    <w:rsid w:val="00C23B0C"/>
    <w:rsid w:val="00C3437E"/>
    <w:rsid w:val="00C3706F"/>
    <w:rsid w:val="00C46A8A"/>
    <w:rsid w:val="00C505ED"/>
    <w:rsid w:val="00C53584"/>
    <w:rsid w:val="00C55258"/>
    <w:rsid w:val="00C7447C"/>
    <w:rsid w:val="00C83A1B"/>
    <w:rsid w:val="00C85C6A"/>
    <w:rsid w:val="00C87299"/>
    <w:rsid w:val="00C97B7A"/>
    <w:rsid w:val="00CB3651"/>
    <w:rsid w:val="00CC6B01"/>
    <w:rsid w:val="00CE42E8"/>
    <w:rsid w:val="00D077F5"/>
    <w:rsid w:val="00D178DA"/>
    <w:rsid w:val="00D24B05"/>
    <w:rsid w:val="00D264A5"/>
    <w:rsid w:val="00D52106"/>
    <w:rsid w:val="00D52C9D"/>
    <w:rsid w:val="00D558D9"/>
    <w:rsid w:val="00D65565"/>
    <w:rsid w:val="00D71C7F"/>
    <w:rsid w:val="00D743C9"/>
    <w:rsid w:val="00D852A4"/>
    <w:rsid w:val="00D90D8B"/>
    <w:rsid w:val="00D949F0"/>
    <w:rsid w:val="00DA3D5E"/>
    <w:rsid w:val="00DA411D"/>
    <w:rsid w:val="00DB23A8"/>
    <w:rsid w:val="00DB53DD"/>
    <w:rsid w:val="00DF5CBC"/>
    <w:rsid w:val="00E02286"/>
    <w:rsid w:val="00E063B1"/>
    <w:rsid w:val="00E118E1"/>
    <w:rsid w:val="00E2037C"/>
    <w:rsid w:val="00E258B1"/>
    <w:rsid w:val="00E268C0"/>
    <w:rsid w:val="00E27B62"/>
    <w:rsid w:val="00E5234B"/>
    <w:rsid w:val="00E55084"/>
    <w:rsid w:val="00E60C94"/>
    <w:rsid w:val="00E65031"/>
    <w:rsid w:val="00E80345"/>
    <w:rsid w:val="00E843FB"/>
    <w:rsid w:val="00EE25DC"/>
    <w:rsid w:val="00EE2747"/>
    <w:rsid w:val="00EE4E78"/>
    <w:rsid w:val="00EF374A"/>
    <w:rsid w:val="00F00387"/>
    <w:rsid w:val="00F00ADA"/>
    <w:rsid w:val="00F032EE"/>
    <w:rsid w:val="00F13C60"/>
    <w:rsid w:val="00F1402F"/>
    <w:rsid w:val="00F40AE6"/>
    <w:rsid w:val="00F55431"/>
    <w:rsid w:val="00F55CD9"/>
    <w:rsid w:val="00F7009F"/>
    <w:rsid w:val="00F86463"/>
    <w:rsid w:val="00F9055A"/>
    <w:rsid w:val="00F914DB"/>
    <w:rsid w:val="00F91FED"/>
    <w:rsid w:val="00F95CB5"/>
    <w:rsid w:val="00FB53EC"/>
    <w:rsid w:val="00FB5DA9"/>
    <w:rsid w:val="00FD3816"/>
    <w:rsid w:val="00FE2362"/>
    <w:rsid w:val="00FE2BD3"/>
    <w:rsid w:val="06D870D9"/>
    <w:rsid w:val="0DBF7145"/>
    <w:rsid w:val="12441E11"/>
    <w:rsid w:val="12EA61CA"/>
    <w:rsid w:val="137837D8"/>
    <w:rsid w:val="14752DAF"/>
    <w:rsid w:val="16A9014A"/>
    <w:rsid w:val="1A1104E0"/>
    <w:rsid w:val="23215E90"/>
    <w:rsid w:val="23A20F03"/>
    <w:rsid w:val="240E783E"/>
    <w:rsid w:val="257747B2"/>
    <w:rsid w:val="278E2F40"/>
    <w:rsid w:val="27DA583D"/>
    <w:rsid w:val="28AA39DC"/>
    <w:rsid w:val="2A6B43A7"/>
    <w:rsid w:val="2DACA143"/>
    <w:rsid w:val="2F1C5505"/>
    <w:rsid w:val="310719A0"/>
    <w:rsid w:val="32F30451"/>
    <w:rsid w:val="3321133C"/>
    <w:rsid w:val="338C5108"/>
    <w:rsid w:val="34803E93"/>
    <w:rsid w:val="360B535E"/>
    <w:rsid w:val="396F35BE"/>
    <w:rsid w:val="39B12632"/>
    <w:rsid w:val="3C6F1C75"/>
    <w:rsid w:val="3FA043B5"/>
    <w:rsid w:val="419B675D"/>
    <w:rsid w:val="4404742B"/>
    <w:rsid w:val="46296800"/>
    <w:rsid w:val="47F87A23"/>
    <w:rsid w:val="4935347A"/>
    <w:rsid w:val="49407297"/>
    <w:rsid w:val="4C716D96"/>
    <w:rsid w:val="4ECC7F56"/>
    <w:rsid w:val="50EE6B10"/>
    <w:rsid w:val="514D67FF"/>
    <w:rsid w:val="518C1C1F"/>
    <w:rsid w:val="53BD64E2"/>
    <w:rsid w:val="58E6018C"/>
    <w:rsid w:val="59B7ED8A"/>
    <w:rsid w:val="5A0A7B2E"/>
    <w:rsid w:val="5A746706"/>
    <w:rsid w:val="5D6E0F2B"/>
    <w:rsid w:val="5DBC7022"/>
    <w:rsid w:val="5E880E21"/>
    <w:rsid w:val="5EDF729B"/>
    <w:rsid w:val="61592208"/>
    <w:rsid w:val="63E02C32"/>
    <w:rsid w:val="67673E57"/>
    <w:rsid w:val="68B114EE"/>
    <w:rsid w:val="692073C4"/>
    <w:rsid w:val="6C691082"/>
    <w:rsid w:val="6D834022"/>
    <w:rsid w:val="6DC85D0E"/>
    <w:rsid w:val="75B93F55"/>
    <w:rsid w:val="786E6D93"/>
    <w:rsid w:val="7AEF40C4"/>
    <w:rsid w:val="7BE36A89"/>
    <w:rsid w:val="7DBDFB22"/>
    <w:rsid w:val="7E7CC849"/>
    <w:rsid w:val="B7FFAE73"/>
    <w:rsid w:val="FF1F31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2"/>
    <w:basedOn w:val="5"/>
    <w:next w:val="13"/>
    <w:qFormat/>
    <w:uiPriority w:val="0"/>
    <w:pPr>
      <w:ind w:firstLine="420" w:firstLineChars="200"/>
    </w:pPr>
  </w:style>
  <w:style w:type="paragraph" w:customStyle="1" w:styleId="1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日期 Char"/>
    <w:basedOn w:val="16"/>
    <w:link w:val="7"/>
    <w:semiHidden/>
    <w:qFormat/>
    <w:uiPriority w:val="99"/>
  </w:style>
  <w:style w:type="character" w:customStyle="1" w:styleId="22">
    <w:name w:val="批注框文本 Char"/>
    <w:basedOn w:val="16"/>
    <w:link w:val="8"/>
    <w:semiHidden/>
    <w:qFormat/>
    <w:uiPriority w:val="99"/>
    <w:rPr>
      <w:kern w:val="2"/>
      <w:sz w:val="18"/>
      <w:szCs w:val="18"/>
    </w:rPr>
  </w:style>
  <w:style w:type="paragraph" w:customStyle="1" w:styleId="23">
    <w:name w:val="Table Paragraph"/>
    <w:basedOn w:val="1"/>
    <w:unhideWhenUsed/>
    <w:qFormat/>
    <w:uiPriority w:val="1"/>
    <w:pPr>
      <w:autoSpaceDE w:val="0"/>
      <w:autoSpaceDN w:val="0"/>
      <w:adjustRightInd w:val="0"/>
      <w:spacing w:before="97"/>
      <w:ind w:left="107"/>
      <w:jc w:val="center"/>
    </w:pPr>
    <w:rPr>
      <w:rFonts w:ascii="华文仿宋" w:hAnsi="华文仿宋" w:eastAsia="华文仿宋"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21</Pages>
  <Words>2817</Words>
  <Characters>2845</Characters>
  <Lines>61</Lines>
  <Paragraphs>17</Paragraphs>
  <TotalTime>104</TotalTime>
  <ScaleCrop>false</ScaleCrop>
  <LinksUpToDate>false</LinksUpToDate>
  <CharactersWithSpaces>2914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2022-04-22T18:13:00Z</dcterms:created>
  <dc:creator>DELL</dc:creator>
  <cp:lastModifiedBy>婁超羣</cp:lastModifiedBy>
  <cp:lastPrinted>2024-08-31T09:28:00Z</cp:lastPrinted>
  <dcterms:modified xsi:type="dcterms:W3CDTF">2024-11-28T01:13:54Z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4EB4143F61244EDDB6AEBE49D60820E5</vt:lpwstr>
  </property>
</Properties>
</file>