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val="0"/>
        <w:autoSpaceDE/>
        <w:autoSpaceDN/>
        <w:bidi w:val="0"/>
        <w:adjustRightInd/>
        <w:snapToGrid/>
        <w:spacing w:line="560" w:lineRule="exact"/>
        <w:ind w:left="0" w:leftChars="0"/>
        <w:jc w:val="left"/>
        <w:textAlignment w:val="auto"/>
        <w:rPr>
          <w:rFonts w:hint="eastAsia" w:ascii="仿宋_GB2312" w:hAnsi="仿宋_GB2312" w:eastAsia="黑体" w:cs="Times New Roman"/>
          <w:color w:val="auto"/>
          <w:sz w:val="32"/>
          <w:szCs w:val="32"/>
          <w:lang w:val="en-US" w:eastAsia="zh-CN"/>
        </w:rPr>
      </w:pPr>
      <w:r>
        <w:rPr>
          <w:rFonts w:hint="default" w:ascii="仿宋_GB2312" w:hAnsi="仿宋_GB2312" w:eastAsia="黑体" w:cs="Times New Roman"/>
          <w:color w:val="auto"/>
          <w:sz w:val="32"/>
          <w:szCs w:val="32"/>
        </w:rPr>
        <w:t>附件</w:t>
      </w:r>
      <w:r>
        <w:rPr>
          <w:rFonts w:hint="eastAsia" w:ascii="黑体" w:hAnsi="黑体" w:eastAsia="黑体" w:cs="黑体"/>
          <w:color w:val="auto"/>
          <w:sz w:val="32"/>
          <w:szCs w:val="32"/>
          <w:lang w:val="en-US" w:eastAsia="zh-CN"/>
        </w:rPr>
        <w:t>1</w:t>
      </w:r>
    </w:p>
    <w:p>
      <w:pPr>
        <w:pStyle w:val="2"/>
        <w:keepNext w:val="0"/>
        <w:keepLines w:val="0"/>
        <w:pageBreakBefore w:val="0"/>
        <w:widowControl w:val="0"/>
        <w:kinsoku/>
        <w:wordWrap/>
        <w:autoSpaceDE/>
        <w:autoSpaceDN/>
        <w:bidi w:val="0"/>
        <w:adjustRightInd/>
        <w:snapToGrid/>
        <w:spacing w:after="0" w:afterLines="0" w:line="560" w:lineRule="exact"/>
        <w:ind w:left="0" w:leftChars="0"/>
        <w:textAlignment w:val="auto"/>
        <w:rPr>
          <w:rFonts w:hint="eastAsia" w:ascii="仿宋_GB2312" w:hAnsi="仿宋_GB2312"/>
          <w:color w:val="auto"/>
          <w:lang w:eastAsia="zh-CN"/>
        </w:rPr>
      </w:pPr>
    </w:p>
    <w:p>
      <w:pPr>
        <w:keepNext w:val="0"/>
        <w:keepLines w:val="0"/>
        <w:pageBreakBefore w:val="0"/>
        <w:widowControl w:val="0"/>
        <w:kinsoku/>
        <w:wordWrap/>
        <w:topLinePunct/>
        <w:autoSpaceDE/>
        <w:autoSpaceDN/>
        <w:bidi w:val="0"/>
        <w:adjustRightInd/>
        <w:snapToGrid/>
        <w:spacing w:line="560" w:lineRule="exact"/>
        <w:ind w:left="0" w:leftChars="0"/>
        <w:jc w:val="center"/>
        <w:textAlignment w:val="auto"/>
        <w:rPr>
          <w:rFonts w:hint="eastAsia" w:ascii="仿宋_GB2312" w:hAnsi="仿宋_GB2312" w:eastAsia="方正小标宋简体"/>
          <w:color w:val="auto"/>
          <w:sz w:val="44"/>
          <w:szCs w:val="44"/>
        </w:rPr>
      </w:pPr>
      <w:r>
        <w:rPr>
          <w:rFonts w:hint="eastAsia" w:ascii="仿宋_GB2312" w:hAnsi="仿宋_GB2312" w:eastAsia="方正小标宋简体"/>
          <w:color w:val="auto"/>
          <w:sz w:val="44"/>
          <w:szCs w:val="44"/>
          <w:lang w:eastAsia="zh-CN"/>
        </w:rPr>
        <w:t>“安薪项目”</w:t>
      </w:r>
      <w:r>
        <w:rPr>
          <w:rFonts w:hint="eastAsia" w:ascii="仿宋_GB2312" w:hAnsi="仿宋_GB2312" w:eastAsia="方正小标宋简体"/>
          <w:color w:val="auto"/>
          <w:sz w:val="44"/>
          <w:szCs w:val="44"/>
        </w:rPr>
        <w:t>量化</w:t>
      </w:r>
      <w:r>
        <w:rPr>
          <w:rFonts w:hint="eastAsia" w:ascii="仿宋_GB2312" w:hAnsi="仿宋_GB2312" w:eastAsia="方正小标宋简体"/>
          <w:color w:val="auto"/>
          <w:sz w:val="44"/>
          <w:szCs w:val="44"/>
          <w:lang w:eastAsia="zh-CN"/>
        </w:rPr>
        <w:t>赋分</w:t>
      </w:r>
      <w:r>
        <w:rPr>
          <w:rFonts w:hint="eastAsia" w:ascii="仿宋_GB2312" w:hAnsi="仿宋_GB2312" w:eastAsia="方正小标宋简体"/>
          <w:color w:val="auto"/>
          <w:sz w:val="44"/>
          <w:szCs w:val="44"/>
        </w:rPr>
        <w:t>表</w:t>
      </w:r>
    </w:p>
    <w:p>
      <w:pPr>
        <w:pStyle w:val="2"/>
        <w:keepNext w:val="0"/>
        <w:keepLines w:val="0"/>
        <w:pageBreakBefore w:val="0"/>
        <w:widowControl w:val="0"/>
        <w:kinsoku/>
        <w:wordWrap/>
        <w:autoSpaceDE/>
        <w:autoSpaceDN/>
        <w:bidi w:val="0"/>
        <w:adjustRightInd/>
        <w:snapToGrid/>
        <w:spacing w:after="0" w:afterLines="0" w:line="560" w:lineRule="exact"/>
        <w:ind w:left="0" w:leftChars="0"/>
        <w:textAlignment w:val="auto"/>
        <w:rPr>
          <w:rFonts w:hint="eastAsia" w:ascii="仿宋_GB2312" w:hAnsi="仿宋_GB2312"/>
          <w:color w:val="auto"/>
        </w:rPr>
      </w:pPr>
    </w:p>
    <w:p>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楷体_GB2312"/>
          <w:color w:val="auto"/>
          <w:sz w:val="24"/>
        </w:rPr>
      </w:pPr>
      <w:r>
        <w:rPr>
          <w:rFonts w:hint="eastAsia" w:ascii="仿宋_GB2312" w:hAnsi="仿宋_GB2312" w:eastAsia="楷体_GB2312"/>
          <w:color w:val="auto"/>
          <w:sz w:val="24"/>
        </w:rPr>
        <w:t xml:space="preserve">县（市、区）：             项目名称：               </w:t>
      </w:r>
      <w:r>
        <w:rPr>
          <w:rFonts w:hint="eastAsia" w:ascii="仿宋_GB2312" w:hAnsi="仿宋_GB2312" w:eastAsia="楷体_GB2312"/>
          <w:color w:val="auto"/>
          <w:sz w:val="24"/>
          <w:lang w:eastAsia="zh-CN"/>
        </w:rPr>
        <w:t>赋分</w:t>
      </w:r>
      <w:r>
        <w:rPr>
          <w:rFonts w:hint="eastAsia" w:ascii="仿宋_GB2312" w:hAnsi="仿宋_GB2312" w:eastAsia="楷体_GB2312"/>
          <w:color w:val="auto"/>
          <w:sz w:val="24"/>
        </w:rPr>
        <w:t>时间：</w:t>
      </w:r>
    </w:p>
    <w:tbl>
      <w:tblPr>
        <w:tblStyle w:val="7"/>
        <w:tblW w:w="9256"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
      <w:tblGrid>
        <w:gridCol w:w="525"/>
        <w:gridCol w:w="619"/>
        <w:gridCol w:w="1235"/>
        <w:gridCol w:w="2804"/>
        <w:gridCol w:w="1554"/>
        <w:gridCol w:w="615"/>
        <w:gridCol w:w="1125"/>
        <w:gridCol w:w="7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tblHeader/>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序号</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评估</w:t>
            </w:r>
            <w:r>
              <w:rPr>
                <w:rFonts w:hint="eastAsia" w:ascii="仿宋_GB2312" w:hAnsi="仿宋_GB2312" w:eastAsia="黑体" w:cs="Times New Roman"/>
                <w:color w:val="auto"/>
                <w:sz w:val="24"/>
                <w:szCs w:val="32"/>
                <w:lang w:eastAsia="zh-CN"/>
              </w:rPr>
              <w:t>指标及</w:t>
            </w:r>
            <w:r>
              <w:rPr>
                <w:rFonts w:hint="default" w:ascii="仿宋_GB2312" w:hAnsi="仿宋_GB2312" w:eastAsia="黑体" w:cs="Times New Roman"/>
                <w:color w:val="auto"/>
                <w:sz w:val="24"/>
                <w:szCs w:val="32"/>
              </w:rPr>
              <w:t>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分值</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权重</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黑体" w:cs="Times New Roman"/>
                <w:color w:val="auto"/>
                <w:sz w:val="24"/>
                <w:szCs w:val="32"/>
                <w:lang w:eastAsia="zh-CN"/>
              </w:rPr>
            </w:pPr>
            <w:r>
              <w:rPr>
                <w:rFonts w:hint="eastAsia" w:ascii="仿宋_GB2312" w:hAnsi="仿宋_GB2312" w:eastAsia="黑体" w:cs="Times New Roman"/>
                <w:color w:val="auto"/>
                <w:sz w:val="24"/>
                <w:szCs w:val="32"/>
                <w:lang w:eastAsia="zh-CN"/>
              </w:rPr>
              <w:t>赋分</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建设单位以项目为单位</w:t>
            </w:r>
            <w:r>
              <w:rPr>
                <w:rFonts w:hint="default" w:ascii="仿宋_GB2312" w:hAnsi="仿宋_GB2312" w:eastAsia="仿宋_GB2312" w:cs="Times New Roman"/>
                <w:color w:val="auto"/>
                <w:sz w:val="22"/>
                <w:szCs w:val="22"/>
              </w:rPr>
              <w:t>成立</w:t>
            </w:r>
            <w:r>
              <w:rPr>
                <w:rFonts w:hint="eastAsia" w:ascii="仿宋_GB2312" w:hAnsi="仿宋_GB2312" w:eastAsia="仿宋_GB2312" w:cs="Times New Roman"/>
                <w:color w:val="auto"/>
                <w:sz w:val="22"/>
                <w:szCs w:val="22"/>
                <w:lang w:eastAsia="zh-CN"/>
              </w:rPr>
              <w:t>保障农民工工资支付协调机制和工资拖欠预防机制</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olor w:val="auto"/>
                <w:lang w:eastAsia="zh-CN"/>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项目部</w:t>
            </w:r>
            <w:r>
              <w:rPr>
                <w:rFonts w:hint="default" w:ascii="仿宋_GB2312" w:hAnsi="仿宋_GB2312" w:eastAsia="仿宋_GB2312" w:cs="Times New Roman"/>
                <w:color w:val="auto"/>
                <w:sz w:val="22"/>
                <w:szCs w:val="22"/>
              </w:rPr>
              <w:t>组织学习培训根治欠薪相关法律法规。建设单位项目负责人、总包单位项目经理、劳资专管员等熟悉保障农民工工资支付法规政策和本项目农民工工资支付情况。</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采取多种形式，向农民工宣传</w:t>
            </w:r>
            <w:r>
              <w:rPr>
                <w:rFonts w:hint="eastAsia" w:ascii="仿宋_GB2312" w:hAnsi="仿宋_GB2312" w:eastAsia="仿宋_GB2312" w:cs="Times New Roman"/>
                <w:color w:val="auto"/>
                <w:sz w:val="22"/>
                <w:szCs w:val="22"/>
                <w:lang w:eastAsia="zh-CN"/>
              </w:rPr>
              <w:t>有关</w:t>
            </w:r>
            <w:r>
              <w:rPr>
                <w:rFonts w:hint="default" w:ascii="仿宋_GB2312" w:hAnsi="仿宋_GB2312" w:eastAsia="仿宋_GB2312" w:cs="Times New Roman"/>
                <w:color w:val="auto"/>
                <w:sz w:val="22"/>
                <w:szCs w:val="22"/>
              </w:rPr>
              <w:t>法规政策。</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按规定办理立项审批手续</w:t>
            </w:r>
            <w:r>
              <w:rPr>
                <w:rFonts w:hint="eastAsia" w:ascii="仿宋_GB2312" w:hAnsi="仿宋_GB2312" w:eastAsia="仿宋_GB2312" w:cs="Times New Roman"/>
                <w:color w:val="auto"/>
                <w:sz w:val="22"/>
                <w:szCs w:val="22"/>
                <w:lang w:eastAsia="zh-CN"/>
              </w:rPr>
              <w:t>、开展招投标工作</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建设单位与总包单位订立书面工程施工合同</w:t>
            </w:r>
            <w:r>
              <w:rPr>
                <w:rFonts w:hint="eastAsia" w:ascii="仿宋_GB2312" w:hAnsi="仿宋_GB2312" w:eastAsia="仿宋_GB2312" w:cs="Times New Roman"/>
                <w:color w:val="auto"/>
                <w:sz w:val="22"/>
                <w:szCs w:val="22"/>
                <w:lang w:eastAsia="zh-CN"/>
              </w:rPr>
              <w:t>。其中</w:t>
            </w:r>
            <w:r>
              <w:rPr>
                <w:rFonts w:hint="default" w:ascii="仿宋_GB2312" w:hAnsi="仿宋_GB2312" w:eastAsia="仿宋_GB2312" w:cs="Times New Roman"/>
                <w:color w:val="auto"/>
                <w:sz w:val="22"/>
                <w:szCs w:val="22"/>
              </w:rPr>
              <w:t>约定工程款计量周期、工程款进度结算办法、人工费用拨付周期和拨付日期、人工费用的数额或者占工程款的比例等内容。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6</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依法依规办理施工许可手续。</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7</w:t>
            </w:r>
          </w:p>
        </w:tc>
        <w:tc>
          <w:tcPr>
            <w:tcW w:w="6212" w:type="dxa"/>
            <w:gridSpan w:val="4"/>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总包单位配备一定数量的劳资专管员</w:t>
            </w:r>
          </w:p>
        </w:tc>
        <w:tc>
          <w:tcPr>
            <w:tcW w:w="61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3</w:t>
            </w:r>
          </w:p>
        </w:tc>
        <w:tc>
          <w:tcPr>
            <w:tcW w:w="11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行业部门</w:t>
            </w:r>
          </w:p>
        </w:tc>
        <w:tc>
          <w:tcPr>
            <w:tcW w:w="779"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8</w:t>
            </w:r>
          </w:p>
        </w:tc>
        <w:tc>
          <w:tcPr>
            <w:tcW w:w="6212" w:type="dxa"/>
            <w:gridSpan w:val="4"/>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总包单位</w:t>
            </w:r>
            <w:r>
              <w:rPr>
                <w:rFonts w:hint="default" w:ascii="仿宋_GB2312" w:hAnsi="仿宋_GB2312" w:eastAsia="仿宋_GB2312" w:cs="Times New Roman"/>
                <w:color w:val="auto"/>
                <w:sz w:val="22"/>
                <w:szCs w:val="22"/>
              </w:rPr>
              <w:t>对分包单位劳动用工实施监督管理。</w:t>
            </w:r>
          </w:p>
        </w:tc>
        <w:tc>
          <w:tcPr>
            <w:tcW w:w="61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3</w:t>
            </w:r>
          </w:p>
        </w:tc>
        <w:tc>
          <w:tcPr>
            <w:tcW w:w="11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default" w:ascii="仿宋_GB2312" w:hAnsi="仿宋_GB2312" w:eastAsia="仿宋_GB2312" w:cs="Times New Roman"/>
                <w:color w:val="auto"/>
                <w:sz w:val="22"/>
                <w:szCs w:val="22"/>
              </w:rPr>
              <w:t>人社部门</w:t>
            </w:r>
          </w:p>
        </w:tc>
        <w:tc>
          <w:tcPr>
            <w:tcW w:w="779"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9</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施工合同签订之日起</w:t>
            </w:r>
            <w:r>
              <w:rPr>
                <w:rFonts w:hint="eastAsia" w:ascii="仿宋_GB2312" w:hAnsi="仿宋_GB2312" w:eastAsia="仿宋_GB2312" w:cs="Times New Roman"/>
                <w:color w:val="auto"/>
                <w:sz w:val="22"/>
                <w:szCs w:val="22"/>
                <w:lang w:val="en-US" w:eastAsia="zh-CN"/>
              </w:rPr>
              <w:t>30日内</w:t>
            </w:r>
            <w:r>
              <w:rPr>
                <w:rFonts w:hint="default" w:ascii="仿宋_GB2312" w:hAnsi="仿宋_GB2312" w:eastAsia="仿宋_GB2312" w:cs="Times New Roman"/>
                <w:color w:val="auto"/>
                <w:sz w:val="22"/>
                <w:szCs w:val="22"/>
              </w:rPr>
              <w:t>将项目纳入</w:t>
            </w:r>
            <w:r>
              <w:rPr>
                <w:rFonts w:hint="eastAsia" w:ascii="仿宋_GB2312" w:hAnsi="仿宋_GB2312" w:eastAsia="仿宋_GB2312" w:cs="Times New Roman"/>
                <w:color w:val="auto"/>
                <w:sz w:val="22"/>
                <w:szCs w:val="22"/>
                <w:lang w:eastAsia="zh-CN"/>
              </w:rPr>
              <w:t>山东省农民工工资支付监管平台，并及时录入维护有关信息。</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10</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规范落实工程款支付担保制度，不存在建设单位未提供工程款支付担保、担保方式不合规范等问题。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规范落实工资保证金制度，不存在工资保证金应缴未缴、应退未退，保函、保险超期未续等问题。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规范落实农民工工资专用账户制度，不存在未</w:t>
            </w:r>
            <w:r>
              <w:rPr>
                <w:rFonts w:hint="eastAsia" w:ascii="仿宋_GB2312" w:hAnsi="仿宋_GB2312" w:eastAsia="仿宋_GB2312" w:cs="Times New Roman"/>
                <w:color w:val="auto"/>
                <w:sz w:val="22"/>
                <w:szCs w:val="22"/>
                <w:lang w:eastAsia="zh-CN"/>
              </w:rPr>
              <w:t>规范</w:t>
            </w:r>
            <w:r>
              <w:rPr>
                <w:rFonts w:hint="default" w:ascii="仿宋_GB2312" w:hAnsi="仿宋_GB2312" w:eastAsia="仿宋_GB2312" w:cs="Times New Roman"/>
                <w:color w:val="auto"/>
                <w:sz w:val="22"/>
                <w:szCs w:val="22"/>
              </w:rPr>
              <w:t>开设专用账户、专用账户管理不规范等</w:t>
            </w:r>
            <w:r>
              <w:rPr>
                <w:rFonts w:hint="eastAsia" w:ascii="仿宋_GB2312" w:hAnsi="仿宋_GB2312" w:eastAsia="仿宋_GB2312" w:cs="Times New Roman"/>
                <w:color w:val="auto"/>
                <w:sz w:val="22"/>
                <w:szCs w:val="22"/>
                <w:lang w:eastAsia="zh-CN"/>
              </w:rPr>
              <w:t>问题</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行业</w:t>
            </w:r>
            <w:r>
              <w:rPr>
                <w:rFonts w:hint="default" w:ascii="仿宋_GB2312" w:hAnsi="仿宋_GB2312" w:eastAsia="仿宋_GB2312" w:cs="Times New Roman"/>
                <w:color w:val="auto"/>
                <w:sz w:val="22"/>
                <w:szCs w:val="22"/>
              </w:rPr>
              <w:t>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规范落实维权信息公示制度，不存在未设立维权信息告示牌、维权信息告示牌内容不全等问题。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kern w:val="2"/>
                <w:sz w:val="22"/>
                <w:szCs w:val="22"/>
                <w:lang w:val="en-US" w:eastAsia="zh-CN" w:bidi="ar-SA"/>
              </w:rPr>
            </w:pPr>
            <w:r>
              <w:rPr>
                <w:rFonts w:hint="eastAsia" w:ascii="仿宋_GB2312" w:hAnsi="仿宋_GB2312" w:eastAsia="黑体" w:cs="Times New Roman"/>
                <w:color w:val="auto"/>
                <w:kern w:val="2"/>
                <w:sz w:val="22"/>
                <w:szCs w:val="22"/>
                <w:lang w:val="en-US" w:eastAsia="zh-CN" w:bidi="ar-SA"/>
              </w:rPr>
              <w:t>14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总包单位与分包单位订立的书面分包合同中，约定工程款计量周期、工程款进度结算办法等内容。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2</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签订工资委托支付协议。</w:t>
            </w:r>
            <w:r>
              <w:rPr>
                <w:rFonts w:hint="default" w:ascii="仿宋_GB2312" w:hAnsi="仿宋_GB2312" w:eastAsia="仿宋_GB2312" w:cs="Times New Roman"/>
                <w:color w:val="auto"/>
                <w:sz w:val="22"/>
                <w:szCs w:val="22"/>
              </w:rPr>
              <w:t>规范落实总包单位代发工资制度。</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6</w:t>
            </w:r>
          </w:p>
        </w:tc>
        <w:tc>
          <w:tcPr>
            <w:tcW w:w="6212" w:type="dxa"/>
            <w:gridSpan w:val="4"/>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规范落实实名制管理制度，未进行实名制</w:t>
            </w:r>
            <w:r>
              <w:rPr>
                <w:rFonts w:hint="eastAsia" w:ascii="仿宋_GB2312" w:hAnsi="仿宋_GB2312" w:eastAsia="仿宋_GB2312" w:cs="Times New Roman"/>
                <w:color w:val="auto"/>
                <w:sz w:val="22"/>
                <w:szCs w:val="22"/>
                <w:lang w:eastAsia="zh-CN"/>
              </w:rPr>
              <w:t>登记</w:t>
            </w:r>
            <w:r>
              <w:rPr>
                <w:rFonts w:hint="default" w:ascii="仿宋_GB2312" w:hAnsi="仿宋_GB2312" w:eastAsia="仿宋_GB2312" w:cs="Times New Roman"/>
                <w:color w:val="auto"/>
                <w:sz w:val="22"/>
                <w:szCs w:val="22"/>
              </w:rPr>
              <w:t>考勤管理等</w:t>
            </w:r>
            <w:r>
              <w:rPr>
                <w:rFonts w:hint="eastAsia" w:ascii="仿宋_GB2312" w:hAnsi="仿宋_GB2312" w:eastAsia="仿宋_GB2312" w:cs="Times New Roman"/>
                <w:color w:val="auto"/>
                <w:sz w:val="22"/>
                <w:szCs w:val="22"/>
                <w:lang w:eastAsia="zh-CN"/>
              </w:rPr>
              <w:t>问题</w:t>
            </w:r>
            <w:r>
              <w:rPr>
                <w:rFonts w:hint="default" w:ascii="仿宋_GB2312" w:hAnsi="仿宋_GB2312" w:eastAsia="仿宋_GB2312" w:cs="Times New Roman"/>
                <w:color w:val="auto"/>
                <w:sz w:val="22"/>
                <w:szCs w:val="22"/>
              </w:rPr>
              <w:t>。</w:t>
            </w:r>
          </w:p>
        </w:tc>
        <w:tc>
          <w:tcPr>
            <w:tcW w:w="61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4</w:t>
            </w:r>
          </w:p>
        </w:tc>
        <w:tc>
          <w:tcPr>
            <w:tcW w:w="11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17</w:t>
            </w:r>
          </w:p>
        </w:tc>
        <w:tc>
          <w:tcPr>
            <w:tcW w:w="6212" w:type="dxa"/>
            <w:gridSpan w:val="4"/>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default" w:ascii="仿宋_GB2312" w:hAnsi="仿宋_GB2312" w:eastAsia="仿宋_GB2312" w:cs="Times New Roman"/>
                <w:color w:val="auto"/>
                <w:sz w:val="22"/>
                <w:szCs w:val="22"/>
              </w:rPr>
              <w:t>农民工进场</w:t>
            </w:r>
            <w:r>
              <w:rPr>
                <w:rFonts w:hint="eastAsia" w:ascii="仿宋_GB2312" w:hAnsi="仿宋_GB2312" w:eastAsia="仿宋_GB2312" w:cs="Times New Roman"/>
                <w:color w:val="auto"/>
                <w:sz w:val="22"/>
                <w:szCs w:val="22"/>
                <w:lang w:eastAsia="zh-CN"/>
              </w:rPr>
              <w:t>按规范</w:t>
            </w:r>
            <w:r>
              <w:rPr>
                <w:rFonts w:hint="default" w:ascii="仿宋_GB2312" w:hAnsi="仿宋_GB2312" w:eastAsia="仿宋_GB2312" w:cs="Times New Roman"/>
                <w:color w:val="auto"/>
                <w:sz w:val="22"/>
                <w:szCs w:val="22"/>
              </w:rPr>
              <w:t>签订劳动合同（或书面用工协议）</w:t>
            </w:r>
          </w:p>
        </w:tc>
        <w:tc>
          <w:tcPr>
            <w:tcW w:w="61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3</w:t>
            </w:r>
          </w:p>
        </w:tc>
        <w:tc>
          <w:tcPr>
            <w:tcW w:w="11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tc>
        <w:tc>
          <w:tcPr>
            <w:tcW w:w="779"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18</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无违法发包、转包、违法分包、挂靠等违法违规行为。</w:t>
            </w:r>
            <w:r>
              <w:rPr>
                <w:rFonts w:hint="eastAsia" w:ascii="仿宋_GB2312" w:hAnsi="仿宋_GB2312" w:eastAsia="仿宋_GB2312" w:cs="Times New Roman"/>
                <w:color w:val="auto"/>
                <w:sz w:val="22"/>
                <w:szCs w:val="22"/>
                <w:lang w:eastAsia="zh-CN"/>
              </w:rPr>
              <w:t>施工日志、监理日志、监理例会纪要等按规定准确记录。</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525"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19</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建设单位按工程施工合同约定计量周期或工程进度进行计算并支付工程款，其中政府机关、事业单位、国有企业建设工程进度款支付应不低于已完成工程价款的80%，不存在延期工程结算、拖欠工程款等行为。</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71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20</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建设单位按月及时足额拨付向农民工工资专用账户拨付人工费用。人工费用拨付不得违反有关规定。</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09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编制工资支付表。按月准确编制农民工工资支付表，经农民工本人签字确认，加盖总包单位公章，按规定上传省农民工工资支付监管平台，并在维权信息告示牌公示。</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eastAsia="zh-CN"/>
              </w:rPr>
              <w:t>严格退场管理。农民工离退场的，及时结清工资，并签署退场工资（结清）确认书。</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配合行政部门调查、核实欠薪案件线索</w:t>
            </w:r>
            <w:r>
              <w:rPr>
                <w:rFonts w:hint="eastAsia" w:ascii="仿宋_GB2312" w:hAnsi="仿宋_GB2312" w:eastAsia="仿宋_GB2312" w:cs="Times New Roman"/>
                <w:color w:val="auto"/>
                <w:sz w:val="22"/>
                <w:szCs w:val="22"/>
                <w:lang w:eastAsia="zh-CN"/>
              </w:rPr>
              <w:t>，不存在经核实确认的欠薪情形</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79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default" w:ascii="仿宋_GB2312" w:hAnsi="仿宋_GB2312" w:eastAsia="仿宋_GB2312" w:cs="Times New Roman"/>
                <w:color w:val="auto"/>
                <w:sz w:val="22"/>
                <w:szCs w:val="22"/>
              </w:rPr>
              <w:t>2</w:t>
            </w:r>
            <w:r>
              <w:rPr>
                <w:rFonts w:hint="eastAsia" w:ascii="仿宋_GB2312" w:hAnsi="仿宋_GB2312" w:eastAsia="仿宋_GB2312" w:cs="Times New Roman"/>
                <w:color w:val="auto"/>
                <w:sz w:val="22"/>
                <w:szCs w:val="22"/>
                <w:lang w:val="en-US" w:eastAsia="zh-CN"/>
              </w:rPr>
              <w:t>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pacing w:val="-6"/>
                <w:sz w:val="22"/>
                <w:szCs w:val="22"/>
              </w:rPr>
              <w:t>按照《</w:t>
            </w:r>
            <w:r>
              <w:rPr>
                <w:rFonts w:hint="eastAsia" w:ascii="仿宋_GB2312" w:hAnsi="仿宋_GB2312" w:eastAsia="仿宋_GB2312" w:cs="Times New Roman"/>
                <w:color w:val="auto"/>
                <w:spacing w:val="-6"/>
                <w:sz w:val="22"/>
                <w:szCs w:val="22"/>
                <w:lang w:eastAsia="zh-CN"/>
              </w:rPr>
              <w:t>山东</w:t>
            </w:r>
            <w:r>
              <w:rPr>
                <w:rFonts w:hint="default" w:ascii="仿宋_GB2312" w:hAnsi="仿宋_GB2312" w:eastAsia="仿宋_GB2312" w:cs="Times New Roman"/>
                <w:color w:val="auto"/>
                <w:spacing w:val="-6"/>
                <w:sz w:val="22"/>
                <w:szCs w:val="22"/>
              </w:rPr>
              <w:t>省工程建设领域</w:t>
            </w:r>
            <w:r>
              <w:rPr>
                <w:rFonts w:hint="eastAsia" w:ascii="仿宋_GB2312" w:hAnsi="仿宋_GB2312" w:eastAsia="仿宋_GB2312" w:cs="Times New Roman"/>
                <w:color w:val="auto"/>
                <w:spacing w:val="-6"/>
                <w:sz w:val="22"/>
                <w:szCs w:val="22"/>
                <w:lang w:eastAsia="zh-CN"/>
              </w:rPr>
              <w:t>保障农民工工资支付工作</w:t>
            </w:r>
            <w:r>
              <w:rPr>
                <w:rFonts w:hint="default" w:ascii="仿宋_GB2312" w:hAnsi="仿宋_GB2312" w:eastAsia="仿宋_GB2312" w:cs="Times New Roman"/>
                <w:color w:val="auto"/>
                <w:spacing w:val="-6"/>
                <w:sz w:val="22"/>
                <w:szCs w:val="22"/>
              </w:rPr>
              <w:t>指导手册（第一版）》要求，分类归档有关台账资料。</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topLinePunct/>
              <w:spacing w:line="360" w:lineRule="exact"/>
              <w:jc w:val="center"/>
              <w:rPr>
                <w:rFonts w:hint="default" w:ascii="仿宋_GB2312" w:hAnsi="仿宋_GB2312"/>
                <w:color w:val="auto"/>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12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default" w:ascii="仿宋_GB2312" w:hAnsi="仿宋_GB2312" w:eastAsia="仿宋_GB2312" w:cs="Times New Roman"/>
                <w:color w:val="auto"/>
                <w:sz w:val="22"/>
                <w:szCs w:val="22"/>
              </w:rPr>
              <w:t>2</w:t>
            </w:r>
            <w:r>
              <w:rPr>
                <w:rFonts w:hint="eastAsia" w:ascii="仿宋_GB2312" w:hAnsi="仿宋_GB2312" w:eastAsia="仿宋_GB2312" w:cs="Times New Roman"/>
                <w:color w:val="auto"/>
                <w:sz w:val="22"/>
                <w:szCs w:val="22"/>
                <w:lang w:val="en-US" w:eastAsia="zh-CN"/>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强化欠薪风险监测管控，不存在影响恶劣的欠薪舆情。</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535" w:hRule="atLeast"/>
          <w:jc w:val="center"/>
        </w:trPr>
        <w:tc>
          <w:tcPr>
            <w:tcW w:w="1144"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2"/>
                <w:szCs w:val="22"/>
              </w:rPr>
            </w:pPr>
            <w:r>
              <w:rPr>
                <w:rFonts w:hint="default" w:ascii="仿宋_GB2312" w:hAnsi="仿宋_GB2312" w:eastAsia="黑体" w:cs="Times New Roman"/>
                <w:color w:val="auto"/>
                <w:sz w:val="22"/>
                <w:szCs w:val="22"/>
              </w:rPr>
              <w:t>综合得分</w:t>
            </w:r>
          </w:p>
        </w:tc>
        <w:tc>
          <w:tcPr>
            <w:tcW w:w="1235"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c>
          <w:tcPr>
            <w:tcW w:w="6877" w:type="dxa"/>
            <w:gridSpan w:val="5"/>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黑体" w:cs="Times New Roman"/>
                <w:color w:val="auto"/>
                <w:sz w:val="22"/>
                <w:szCs w:val="22"/>
                <w:lang w:eastAsia="zh-CN"/>
              </w:rPr>
              <w:t>核查人员</w:t>
            </w:r>
            <w:r>
              <w:rPr>
                <w:rFonts w:hint="default" w:ascii="仿宋_GB2312" w:hAnsi="仿宋_GB2312" w:eastAsia="黑体" w:cs="Times New Roman"/>
                <w:color w:val="auto"/>
                <w:sz w:val="22"/>
                <w:szCs w:val="22"/>
              </w:rPr>
              <w:t xml:space="preserve">签字    </w:t>
            </w:r>
            <w:r>
              <w:rPr>
                <w:rFonts w:hint="default" w:ascii="仿宋_GB2312" w:hAnsi="仿宋_GB2312" w:eastAsia="仿宋_GB2312" w:cs="Times New Roman"/>
                <w:color w:val="auto"/>
                <w:sz w:val="22"/>
                <w:szCs w:val="22"/>
              </w:rPr>
              <w:t>人社部门：           行业主管部门：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jc w:val="center"/>
        </w:trPr>
        <w:tc>
          <w:tcPr>
            <w:tcW w:w="1144"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eastAsia" w:ascii="仿宋_GB2312" w:hAnsi="仿宋_GB2312" w:eastAsia="黑体" w:cs="Times New Roman"/>
                <w:color w:val="auto"/>
                <w:sz w:val="22"/>
                <w:szCs w:val="22"/>
                <w:lang w:eastAsia="zh-CN"/>
              </w:rPr>
              <w:t>部门</w:t>
            </w:r>
            <w:r>
              <w:rPr>
                <w:rFonts w:hint="default" w:ascii="仿宋_GB2312" w:hAnsi="仿宋_GB2312" w:eastAsia="黑体" w:cs="Times New Roman"/>
                <w:color w:val="auto"/>
                <w:sz w:val="22"/>
                <w:szCs w:val="22"/>
              </w:rPr>
              <w:t>意见</w:t>
            </w:r>
          </w:p>
        </w:tc>
        <w:tc>
          <w:tcPr>
            <w:tcW w:w="4039"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ind w:firstLine="756" w:firstLineChars="350"/>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人力资源社会保障部门（盖  章）</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年   月   日</w:t>
            </w:r>
          </w:p>
        </w:tc>
        <w:tc>
          <w:tcPr>
            <w:tcW w:w="4073"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行业工程建设主管部门（盖  章）</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年   月   日</w:t>
            </w:r>
          </w:p>
        </w:tc>
      </w:tr>
    </w:tbl>
    <w:p>
      <w:pPr>
        <w:spacing w:line="20" w:lineRule="exact"/>
        <w:rPr>
          <w:rFonts w:ascii="仿宋_GB2312" w:hAnsi="仿宋_GB2312"/>
          <w:color w:val="auto"/>
        </w:rPr>
      </w:pPr>
    </w:p>
    <w:p>
      <w:pPr>
        <w:pStyle w:val="5"/>
        <w:ind w:left="0"/>
        <w:rPr>
          <w:rFonts w:hint="default" w:ascii="仿宋_GB2312" w:hAnsi="仿宋_GB2312" w:eastAsia="黑体" w:cs="Times New Roman"/>
          <w:color w:val="auto"/>
          <w:sz w:val="32"/>
          <w:szCs w:val="32"/>
        </w:rPr>
        <w:sectPr>
          <w:footerReference r:id="rId3" w:type="default"/>
          <w:footerReference r:id="rId4" w:type="even"/>
          <w:pgSz w:w="11906" w:h="16838"/>
          <w:pgMar w:top="2098" w:right="1531" w:bottom="1814" w:left="1531" w:header="851" w:footer="1587" w:gutter="0"/>
          <w:pgNumType w:fmt="decimal"/>
          <w:cols w:space="0" w:num="1"/>
          <w:titlePg/>
          <w:rtlGutter w:val="0"/>
          <w:docGrid w:type="linesAndChars" w:linePitch="585" w:charSpace="-849"/>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黑体" w:cs="Times New Roman"/>
          <w:color w:val="auto"/>
          <w:sz w:val="32"/>
          <w:szCs w:val="32"/>
          <w:lang w:val="en-US" w:eastAsia="zh-CN"/>
        </w:rPr>
      </w:pPr>
      <w:r>
        <w:rPr>
          <w:rFonts w:hint="default" w:ascii="仿宋_GB2312" w:hAnsi="仿宋_GB2312" w:eastAsia="黑体" w:cs="Times New Roman"/>
          <w:color w:val="auto"/>
          <w:sz w:val="32"/>
          <w:szCs w:val="32"/>
        </w:rPr>
        <w:t>附件</w:t>
      </w:r>
      <w:r>
        <w:rPr>
          <w:rFonts w:hint="eastAsia" w:ascii="黑体" w:hAnsi="黑体" w:eastAsia="黑体" w:cs="黑体"/>
          <w:color w:val="auto"/>
          <w:sz w:val="32"/>
          <w:szCs w:val="32"/>
          <w:lang w:val="en-US" w:eastAsia="zh-CN"/>
        </w:rPr>
        <w:t>2</w:t>
      </w:r>
    </w:p>
    <w:p>
      <w:pPr>
        <w:pStyle w:val="2"/>
        <w:keepNext w:val="0"/>
        <w:keepLines w:val="0"/>
        <w:pageBreakBefore w:val="0"/>
        <w:widowControl w:val="0"/>
        <w:kinsoku/>
        <w:wordWrap/>
        <w:overflowPunct/>
        <w:topLinePunct w:val="0"/>
        <w:autoSpaceDE/>
        <w:autoSpaceDN/>
        <w:bidi w:val="0"/>
        <w:spacing w:after="0" w:afterLines="0" w:line="560" w:lineRule="exact"/>
        <w:ind w:left="0" w:leftChars="0"/>
        <w:textAlignment w:val="auto"/>
        <w:rPr>
          <w:rFonts w:hint="default" w:ascii="仿宋_GB2312" w:hAnsi="仿宋_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方正小标宋简体" w:cs="方正小标宋简体"/>
          <w:color w:val="auto"/>
          <w:sz w:val="44"/>
          <w:szCs w:val="44"/>
        </w:rPr>
      </w:pPr>
      <w:r>
        <w:rPr>
          <w:rFonts w:hint="eastAsia" w:ascii="仿宋_GB2312" w:hAnsi="仿宋_GB2312" w:eastAsia="方正小标宋简体" w:cs="方正小标宋简体"/>
          <w:color w:val="auto"/>
          <w:sz w:val="44"/>
          <w:szCs w:val="44"/>
          <w:lang w:eastAsia="zh-CN"/>
        </w:rPr>
        <w:t>“安薪项目”培育活动</w:t>
      </w:r>
      <w:r>
        <w:rPr>
          <w:rFonts w:hint="eastAsia" w:ascii="仿宋_GB2312" w:hAnsi="仿宋_GB2312" w:eastAsia="方正小标宋简体" w:cs="方正小标宋简体"/>
          <w:color w:val="auto"/>
          <w:sz w:val="44"/>
          <w:szCs w:val="44"/>
        </w:rPr>
        <w:t>进展情况表</w:t>
      </w:r>
    </w:p>
    <w:p>
      <w:pPr>
        <w:pStyle w:val="2"/>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填报单位：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填报日期：      年   月   日</w:t>
      </w:r>
    </w:p>
    <w:tbl>
      <w:tblPr>
        <w:tblStyle w:val="7"/>
        <w:tblW w:w="13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25"/>
        <w:gridCol w:w="1985"/>
        <w:gridCol w:w="1659"/>
        <w:gridCol w:w="2077"/>
        <w:gridCol w:w="224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在建工程</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项目数量</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rPr>
              <w:t>纳入</w:t>
            </w:r>
            <w:r>
              <w:rPr>
                <w:rFonts w:hint="eastAsia" w:ascii="仿宋_GB2312" w:hAnsi="仿宋_GB2312" w:eastAsia="黑体" w:cs="黑体"/>
                <w:color w:val="auto"/>
                <w:sz w:val="28"/>
                <w:szCs w:val="28"/>
                <w:lang w:eastAsia="zh-CN"/>
              </w:rPr>
              <w:t>省监管</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lang w:eastAsia="zh-CN"/>
              </w:rPr>
              <w:t>平台</w:t>
            </w:r>
            <w:r>
              <w:rPr>
                <w:rFonts w:hint="eastAsia" w:ascii="仿宋_GB2312" w:hAnsi="仿宋_GB2312" w:eastAsia="黑体" w:cs="黑体"/>
                <w:color w:val="auto"/>
                <w:sz w:val="28"/>
                <w:szCs w:val="28"/>
              </w:rPr>
              <w:t>项目数量</w:t>
            </w: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培育</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项目数量</w:t>
            </w: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“安薪项目”</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数量</w:t>
            </w: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仿宋_GB2312" w:hAnsi="仿宋_GB2312" w:eastAsia="黑体" w:cs="黑体"/>
                <w:color w:val="auto"/>
                <w:sz w:val="28"/>
                <w:szCs w:val="28"/>
                <w:lang w:eastAsia="zh-CN"/>
              </w:rPr>
            </w:pPr>
            <w:r>
              <w:rPr>
                <w:rFonts w:hint="default" w:ascii="仿宋_GB2312" w:hAnsi="仿宋_GB2312" w:eastAsia="黑体" w:cs="黑体"/>
                <w:color w:val="auto"/>
                <w:sz w:val="28"/>
                <w:szCs w:val="28"/>
                <w:lang w:eastAsia="zh-CN"/>
              </w:rPr>
              <w:t>“优质安薪项目”数量</w:t>
            </w: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default" w:ascii="仿宋_GB2312" w:hAnsi="仿宋_GB2312" w:eastAsia="黑体" w:cs="黑体"/>
                <w:color w:val="auto"/>
                <w:spacing w:val="0"/>
                <w:sz w:val="28"/>
                <w:szCs w:val="28"/>
              </w:rPr>
            </w:pPr>
            <w:r>
              <w:rPr>
                <w:rFonts w:hint="eastAsia" w:ascii="仿宋_GB2312" w:hAnsi="仿宋_GB2312" w:eastAsia="黑体" w:cs="黑体"/>
                <w:color w:val="auto"/>
                <w:spacing w:val="0"/>
                <w:sz w:val="28"/>
                <w:szCs w:val="28"/>
              </w:rPr>
              <w:t>退出</w:t>
            </w:r>
            <w:r>
              <w:rPr>
                <w:rFonts w:hint="default" w:ascii="仿宋_GB2312" w:hAnsi="仿宋_GB2312" w:eastAsia="黑体" w:cs="黑体"/>
                <w:color w:val="auto"/>
                <w:spacing w:val="0"/>
                <w:sz w:val="28"/>
                <w:szCs w:val="28"/>
              </w:rPr>
              <w:t>“安薪</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default" w:ascii="仿宋_GB2312" w:hAnsi="仿宋_GB2312" w:eastAsia="黑体" w:cs="黑体"/>
                <w:color w:val="auto"/>
                <w:spacing w:val="0"/>
                <w:sz w:val="28"/>
                <w:szCs w:val="28"/>
              </w:rPr>
              <w:t>项目”</w:t>
            </w:r>
            <w:r>
              <w:rPr>
                <w:rFonts w:hint="eastAsia" w:ascii="仿宋_GB2312" w:hAnsi="仿宋_GB2312" w:eastAsia="黑体" w:cs="黑体"/>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  建</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交  通</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  利</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  计</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单位负责人（签字）：               填报人（签字）：             联系电话：</w:t>
      </w:r>
    </w:p>
    <w:p>
      <w:r>
        <w:rPr>
          <w:rFonts w:hint="eastAsia" w:ascii="仿宋_GB2312" w:hAnsi="仿宋_GB2312" w:eastAsia="仿宋_GB2312" w:cs="仿宋_GB2312"/>
          <w:color w:val="auto"/>
          <w:sz w:val="28"/>
          <w:szCs w:val="28"/>
        </w:rPr>
        <w:t>说明：本表仅统计在建工程项目情况，如项目</w:t>
      </w:r>
      <w:r>
        <w:rPr>
          <w:rFonts w:hint="eastAsia" w:ascii="仿宋_GB2312" w:hAnsi="仿宋_GB2312" w:eastAsia="仿宋_GB2312" w:cs="仿宋_GB2312"/>
          <w:color w:val="auto"/>
          <w:sz w:val="28"/>
          <w:szCs w:val="28"/>
          <w:lang w:eastAsia="zh-CN"/>
        </w:rPr>
        <w:t>长期</w:t>
      </w:r>
      <w:r>
        <w:rPr>
          <w:rFonts w:hint="eastAsia" w:ascii="仿宋_GB2312" w:hAnsi="仿宋_GB2312" w:eastAsia="仿宋_GB2312" w:cs="仿宋_GB2312"/>
          <w:color w:val="auto"/>
          <w:sz w:val="28"/>
          <w:szCs w:val="28"/>
        </w:rPr>
        <w:t>停工或已完工，不纳入统计范围。本表每季度上报一次。</w:t>
      </w:r>
      <w:bookmarkStart w:id="0" w:name="_GoBack"/>
      <w:bookmarkEnd w:id="0"/>
    </w:p>
    <w:sectPr>
      <w:footerReference r:id="rId5" w:type="default"/>
      <w:pgSz w:w="16838" w:h="11906" w:orient="landscape"/>
      <w:pgMar w:top="1531" w:right="2098" w:bottom="1531" w:left="1814" w:header="851" w:footer="1531"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10"/>
        <w:rFonts w:ascii="Times New Roman" w:hAnsi="Times New Roman"/>
        <w:sz w:val="18"/>
        <w:szCs w:val="18"/>
      </w:rPr>
    </w:pPr>
    <w:r>
      <w:rPr>
        <w:rFonts w:ascii="Times New Roman" w:hAnsi="Times New Roman"/>
        <w:sz w:val="18"/>
        <w:szCs w:val="18"/>
      </w:rPr>
      <w:fldChar w:fldCharType="begin"/>
    </w:r>
    <w:r>
      <w:rPr>
        <w:rStyle w:val="10"/>
        <w:rFonts w:ascii="Times New Roman" w:hAnsi="Times New Roman"/>
        <w:sz w:val="18"/>
        <w:szCs w:val="18"/>
      </w:rPr>
      <w:instrText xml:space="preserve">PAGE  </w:instrText>
    </w:r>
    <w:r>
      <w:rPr>
        <w:rFonts w:ascii="Times New Roman" w:hAnsi="Times New Roman"/>
        <w:sz w:val="18"/>
        <w:szCs w:val="18"/>
      </w:rPr>
      <w:fldChar w:fldCharType="end"/>
    </w:r>
  </w:p>
  <w:p>
    <w:pPr>
      <w:snapToGrid w:val="0"/>
      <w:ind w:right="36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85311F"/>
    <w:rsid w:val="079F1835"/>
    <w:rsid w:val="5885311F"/>
    <w:rsid w:val="713936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32"/>
      <w:szCs w:val="24"/>
      <w:lang w:val="en-US" w:eastAsia="zh-CN" w:bidi="ar-SA"/>
    </w:rPr>
  </w:style>
  <w:style w:type="character" w:default="1" w:styleId="9">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Body Text First Indent 2"/>
    <w:basedOn w:val="3"/>
    <w:next w:val="4"/>
    <w:qFormat/>
    <w:uiPriority w:val="0"/>
    <w:pPr>
      <w:spacing w:after="0" w:line="560" w:lineRule="exact"/>
      <w:ind w:left="0" w:leftChars="0" w:firstLine="420" w:firstLineChars="200"/>
    </w:pPr>
    <w:rPr>
      <w:kern w:val="0"/>
      <w:sz w:val="20"/>
      <w:szCs w:val="20"/>
    </w:rPr>
  </w:style>
  <w:style w:type="paragraph" w:styleId="3">
    <w:name w:val="Body Text Indent"/>
    <w:basedOn w:val="1"/>
    <w:qFormat/>
    <w:uiPriority w:val="0"/>
    <w:pPr>
      <w:spacing w:after="120"/>
      <w:ind w:left="420" w:leftChars="200"/>
    </w:pPr>
  </w:style>
  <w:style w:type="paragraph" w:customStyle="1" w:styleId="4">
    <w:name w:val="Default"/>
    <w:unhideWhenUsed/>
    <w:qFormat/>
    <w:uiPriority w:val="0"/>
    <w:pPr>
      <w:widowControl w:val="0"/>
      <w:autoSpaceDE w:val="0"/>
      <w:autoSpaceDN w:val="0"/>
      <w:adjustRightInd w:val="0"/>
    </w:pPr>
    <w:rPr>
      <w:rFonts w:hint="eastAsia" w:ascii="黑体" w:hAnsi="黑体" w:eastAsia="黑体" w:cs="Times New Roman"/>
      <w:color w:val="000000"/>
      <w:sz w:val="24"/>
      <w:szCs w:val="22"/>
      <w:lang w:val="en-US" w:eastAsia="zh-CN" w:bidi="ar-SA"/>
    </w:rPr>
  </w:style>
  <w:style w:type="paragraph" w:styleId="5">
    <w:name w:val="index 5"/>
    <w:basedOn w:val="1"/>
    <w:next w:val="1"/>
    <w:qFormat/>
    <w:uiPriority w:val="2"/>
    <w:pPr>
      <w:ind w:left="1680"/>
    </w:pPr>
  </w:style>
  <w:style w:type="paragraph" w:styleId="6">
    <w:name w:val="footer"/>
    <w:basedOn w:val="1"/>
    <w:next w:val="5"/>
    <w:qFormat/>
    <w:uiPriority w:val="0"/>
    <w:pPr>
      <w:tabs>
        <w:tab w:val="center" w:pos="4153"/>
        <w:tab w:val="right" w:pos="8306"/>
      </w:tabs>
      <w:snapToGrid w:val="0"/>
      <w:jc w:val="left"/>
    </w:pPr>
    <w:rPr>
      <w:sz w:val="18"/>
    </w:rPr>
  </w:style>
  <w:style w:type="table" w:styleId="8">
    <w:name w:val="Table Grid"/>
    <w:basedOn w:val="7"/>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styleId="10">
    <w:name w:val="page number"/>
    <w:basedOn w:val="9"/>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Office_11.8.6.8556_F1E327BC-269C-435d-A152-05C5408002CA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2024-08-02T01:40:00Z</dcterms:created>
  <dc:creator>Administrator</dc:creator>
  <cp:lastModifiedBy>Administrator</cp:lastModifiedBy>
  <dcterms:modified xsi:type="dcterms:W3CDTF">2024-08-02T02:05:24Z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2052-11.8.6.8556</vt:lpwstr>
  </property>
</Properties>
</file>