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left="0" w:leftChars="0" w:right="0" w:rightChars="0" w:firstLine="0" w:firstLineChars="0"/>
        <w:jc w:val="both"/>
        <w:textAlignment w:val="auto"/>
        <w:rPr>
          <w:rFonts w:hint="eastAsia" w:ascii="仿宋_GB2312" w:hAnsi="仿宋_GB2312" w:eastAsia="黑体" w:cs="黑体"/>
          <w:color w:val="auto"/>
          <w:spacing w:val="0"/>
          <w:kern w:val="2"/>
          <w:sz w:val="32"/>
          <w:szCs w:val="32"/>
          <w:lang w:val="en-US" w:eastAsia="zh-CN" w:bidi="ar-SA"/>
        </w:rPr>
      </w:pPr>
      <w:bookmarkStart w:id="0" w:name="_GoBack"/>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left="0" w:leftChars="0" w:right="0" w:rightChars="0" w:firstLine="0" w:firstLineChars="0"/>
        <w:jc w:val="both"/>
        <w:textAlignment w:val="auto"/>
        <w:rPr>
          <w:rFonts w:hint="eastAsia" w:ascii="仿宋_GB2312" w:hAnsi="仿宋_GB2312" w:eastAsia="黑体" w:cs="黑体"/>
          <w:color w:val="auto"/>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left="0" w:leftChars="0" w:right="0" w:rightChars="0" w:firstLine="0" w:firstLineChars="0"/>
        <w:jc w:val="both"/>
        <w:textAlignment w:val="auto"/>
        <w:rPr>
          <w:rFonts w:hint="eastAsia" w:ascii="仿宋_GB2312" w:hAnsi="仿宋_GB2312" w:eastAsia="黑体" w:cs="黑体"/>
          <w:color w:val="auto"/>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left="0" w:leftChars="0" w:right="0" w:rightChars="0" w:firstLine="0" w:firstLineChars="0"/>
        <w:jc w:val="both"/>
        <w:textAlignment w:val="auto"/>
        <w:rPr>
          <w:rFonts w:hint="eastAsia" w:ascii="仿宋_GB2312" w:hAnsi="仿宋_GB2312" w:eastAsia="黑体" w:cs="黑体"/>
          <w:color w:val="auto"/>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left="0" w:leftChars="0" w:right="0" w:rightChars="0" w:firstLine="0" w:firstLineChars="0"/>
        <w:jc w:val="both"/>
        <w:textAlignment w:val="auto"/>
        <w:rPr>
          <w:rFonts w:hint="eastAsia" w:ascii="仿宋_GB2312" w:hAnsi="仿宋_GB2312" w:eastAsia="黑体" w:cs="黑体"/>
          <w:color w:val="auto"/>
          <w:spacing w:val="0"/>
          <w:kern w:val="2"/>
          <w:sz w:val="32"/>
          <w:szCs w:val="32"/>
          <w:lang w:val="en-US" w:eastAsia="zh-CN" w:bidi="ar-SA"/>
        </w:rPr>
      </w:pPr>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firstLine="632" w:firstLineChars="200"/>
        <w:jc w:val="right"/>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i w:val="0"/>
          <w:iCs w:val="0"/>
          <w:caps w:val="0"/>
          <w:color w:val="auto"/>
          <w:spacing w:val="0"/>
          <w:sz w:val="32"/>
          <w:szCs w:val="32"/>
          <w:shd w:val="clear" w:fill="FFFFFF"/>
        </w:rPr>
        <w:t>鲁人社函〔2024〕64号</w:t>
      </w:r>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firstLine="412" w:firstLineChars="200"/>
        <w:textAlignment w:val="auto"/>
        <w:rPr>
          <w:rFonts w:hint="eastAsia" w:ascii="仿宋_GB2312" w:hAnsi="仿宋_GB2312"/>
          <w:color w:val="auto"/>
          <w:lang w:val="en-US" w:eastAsia="zh-CN"/>
        </w:rPr>
      </w:pPr>
    </w:p>
    <w:p>
      <w:pPr>
        <w:keepNext w:val="0"/>
        <w:keepLines w:val="0"/>
        <w:pageBreakBefore w:val="0"/>
        <w:widowControl w:val="0"/>
        <w:kinsoku/>
        <w:wordWrap/>
        <w:overflowPunct/>
        <w:topLinePunct w:val="0"/>
        <w:autoSpaceDE/>
        <w:autoSpaceDN/>
        <w:bidi w:val="0"/>
        <w:adjustRightInd/>
        <w:snapToGrid w:val="0"/>
        <w:spacing w:line="586" w:lineRule="exact"/>
        <w:ind w:right="0" w:rightChars="0"/>
        <w:jc w:val="center"/>
        <w:textAlignment w:val="auto"/>
        <w:rPr>
          <w:rFonts w:hint="eastAsia" w:ascii="仿宋_GB2312" w:hAnsi="仿宋_GB2312" w:eastAsia="方正小标宋简体" w:cs="方正小标宋简体"/>
          <w:color w:val="auto"/>
          <w:spacing w:val="0"/>
          <w:sz w:val="44"/>
          <w:szCs w:val="44"/>
          <w:lang w:val="en-US" w:eastAsia="zh-CN"/>
        </w:rPr>
      </w:pPr>
      <w:r>
        <w:rPr>
          <w:rFonts w:hint="eastAsia" w:ascii="仿宋_GB2312" w:hAnsi="仿宋_GB2312" w:eastAsia="方正小标宋简体" w:cs="方正小标宋简体"/>
          <w:color w:val="auto"/>
          <w:spacing w:val="0"/>
          <w:sz w:val="44"/>
          <w:szCs w:val="44"/>
          <w:lang w:eastAsia="zh-CN"/>
        </w:rPr>
        <w:t>山东省人力资源和社会保障厅等</w:t>
      </w:r>
      <w:r>
        <w:rPr>
          <w:rFonts w:hint="eastAsia" w:ascii="方正小标宋简体" w:hAnsi="方正小标宋简体" w:eastAsia="方正小标宋简体" w:cs="方正小标宋简体"/>
          <w:color w:val="auto"/>
          <w:spacing w:val="0"/>
          <w:sz w:val="44"/>
          <w:szCs w:val="44"/>
          <w:lang w:eastAsia="zh-CN"/>
        </w:rPr>
        <w:t>4</w:t>
      </w:r>
      <w:r>
        <w:rPr>
          <w:rFonts w:hint="eastAsia" w:ascii="仿宋_GB2312" w:hAnsi="仿宋_GB2312" w:eastAsia="方正小标宋简体" w:cs="方正小标宋简体"/>
          <w:color w:val="auto"/>
          <w:spacing w:val="0"/>
          <w:sz w:val="44"/>
          <w:szCs w:val="44"/>
          <w:lang w:val="en-US" w:eastAsia="zh-CN"/>
        </w:rPr>
        <w:t>部门</w:t>
      </w:r>
    </w:p>
    <w:p>
      <w:pPr>
        <w:keepNext w:val="0"/>
        <w:keepLines w:val="0"/>
        <w:pageBreakBefore w:val="0"/>
        <w:widowControl w:val="0"/>
        <w:kinsoku/>
        <w:wordWrap/>
        <w:overflowPunct/>
        <w:topLinePunct w:val="0"/>
        <w:autoSpaceDE/>
        <w:autoSpaceDN/>
        <w:bidi w:val="0"/>
        <w:adjustRightInd/>
        <w:snapToGrid w:val="0"/>
        <w:spacing w:line="586" w:lineRule="exact"/>
        <w:ind w:right="0" w:rightChars="0"/>
        <w:jc w:val="center"/>
        <w:textAlignment w:val="auto"/>
        <w:rPr>
          <w:rFonts w:hint="eastAsia" w:ascii="仿宋_GB2312" w:hAnsi="仿宋_GB2312" w:eastAsia="方正小标宋简体" w:cs="方正小标宋简体"/>
          <w:color w:val="auto"/>
          <w:spacing w:val="0"/>
          <w:sz w:val="44"/>
          <w:szCs w:val="44"/>
        </w:rPr>
      </w:pPr>
      <w:r>
        <w:rPr>
          <w:rFonts w:hint="eastAsia" w:ascii="仿宋_GB2312" w:hAnsi="仿宋_GB2312" w:eastAsia="方正小标宋简体" w:cs="方正小标宋简体"/>
          <w:color w:val="auto"/>
          <w:spacing w:val="0"/>
          <w:sz w:val="44"/>
          <w:szCs w:val="44"/>
        </w:rPr>
        <w:t>关于</w:t>
      </w:r>
      <w:r>
        <w:rPr>
          <w:rFonts w:hint="eastAsia" w:ascii="仿宋_GB2312" w:hAnsi="仿宋_GB2312" w:eastAsia="方正小标宋简体" w:cs="方正小标宋简体"/>
          <w:color w:val="auto"/>
          <w:spacing w:val="0"/>
          <w:sz w:val="44"/>
          <w:szCs w:val="44"/>
          <w:lang w:eastAsia="zh-CN"/>
        </w:rPr>
        <w:t>开展“安薪项目”培育活动</w:t>
      </w:r>
      <w:r>
        <w:rPr>
          <w:rFonts w:hint="eastAsia" w:ascii="仿宋_GB2312" w:hAnsi="仿宋_GB2312" w:eastAsia="方正小标宋简体" w:cs="方正小标宋简体"/>
          <w:color w:val="auto"/>
          <w:spacing w:val="0"/>
          <w:sz w:val="44"/>
          <w:szCs w:val="44"/>
        </w:rPr>
        <w:t>的通知</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jc w:val="center"/>
        <w:textAlignment w:val="auto"/>
        <w:rPr>
          <w:rFonts w:hint="eastAsia" w:ascii="仿宋_GB2312" w:hAnsi="仿宋_GB2312" w:eastAsia="楷体_GB2312" w:cs="楷体_GB2312"/>
          <w:color w:val="auto"/>
          <w:spacing w:val="0"/>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586" w:lineRule="exact"/>
        <w:textAlignment w:val="auto"/>
        <w:rPr>
          <w:rFonts w:hint="eastAsia" w:ascii="仿宋_GB2312" w:hAnsi="仿宋_GB2312" w:eastAsia="仿宋_GB2312" w:cs="仿宋_GB2312"/>
          <w:color w:val="auto"/>
          <w:spacing w:val="0"/>
          <w:sz w:val="32"/>
          <w:szCs w:val="32"/>
        </w:rPr>
      </w:pPr>
      <w:r>
        <w:rPr>
          <w:rFonts w:hint="eastAsia" w:ascii="仿宋_GB2312" w:hAnsi="仿宋_GB2312" w:eastAsia="仿宋_GB2312" w:cs="仿宋_GB2312"/>
          <w:color w:val="auto"/>
          <w:spacing w:val="0"/>
          <w:sz w:val="32"/>
          <w:szCs w:val="32"/>
        </w:rPr>
        <w:t>各市</w:t>
      </w:r>
      <w:r>
        <w:rPr>
          <w:rFonts w:hint="eastAsia" w:ascii="仿宋_GB2312" w:hAnsi="仿宋_GB2312" w:eastAsia="仿宋_GB2312" w:cs="仿宋_GB2312"/>
          <w:color w:val="auto"/>
          <w:spacing w:val="0"/>
          <w:sz w:val="32"/>
          <w:szCs w:val="32"/>
          <w:lang w:eastAsia="zh-CN"/>
        </w:rPr>
        <w:t>人力资源</w:t>
      </w:r>
      <w:r>
        <w:rPr>
          <w:rFonts w:hint="default" w:ascii="仿宋_GB2312" w:hAnsi="仿宋_GB2312" w:eastAsia="仿宋_GB2312" w:cs="仿宋_GB2312"/>
          <w:color w:val="auto"/>
          <w:spacing w:val="0"/>
          <w:sz w:val="32"/>
          <w:szCs w:val="32"/>
          <w:lang w:eastAsia="zh-CN"/>
        </w:rPr>
        <w:t>和</w:t>
      </w:r>
      <w:r>
        <w:rPr>
          <w:rFonts w:hint="eastAsia" w:ascii="仿宋_GB2312" w:hAnsi="仿宋_GB2312" w:eastAsia="仿宋_GB2312" w:cs="仿宋_GB2312"/>
          <w:color w:val="auto"/>
          <w:spacing w:val="0"/>
          <w:sz w:val="32"/>
          <w:szCs w:val="32"/>
          <w:lang w:eastAsia="zh-CN"/>
        </w:rPr>
        <w:t>社会保障局、住房和城乡建设局、交通运输局、水利局</w:t>
      </w:r>
      <w:r>
        <w:rPr>
          <w:rFonts w:hint="eastAsia" w:ascii="仿宋_GB2312" w:hAnsi="仿宋_GB2312" w:eastAsia="仿宋_GB2312" w:cs="仿宋_GB2312"/>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Times New Roman"/>
          <w:color w:val="auto"/>
          <w:spacing w:val="0"/>
          <w:sz w:val="32"/>
          <w:szCs w:val="32"/>
          <w:lang w:eastAsia="zh-CN"/>
        </w:rPr>
      </w:pPr>
      <w:r>
        <w:rPr>
          <w:rFonts w:hint="eastAsia" w:ascii="仿宋_GB2312" w:hAnsi="仿宋_GB2312" w:eastAsia="仿宋_GB2312" w:cs="Times New Roman"/>
          <w:color w:val="auto"/>
          <w:spacing w:val="0"/>
          <w:sz w:val="32"/>
          <w:szCs w:val="32"/>
          <w:lang w:eastAsia="zh-CN"/>
        </w:rPr>
        <w:t>近年来，</w:t>
      </w:r>
      <w:r>
        <w:rPr>
          <w:rFonts w:hint="eastAsia" w:ascii="仿宋_GB2312" w:hAnsi="仿宋_GB2312" w:eastAsia="仿宋_GB2312" w:cs="Times New Roman"/>
          <w:color w:val="auto"/>
          <w:spacing w:val="0"/>
          <w:sz w:val="32"/>
          <w:szCs w:val="32"/>
          <w:lang w:val="en-US" w:eastAsia="zh-CN"/>
        </w:rPr>
        <w:t>各级各部门</w:t>
      </w:r>
      <w:r>
        <w:rPr>
          <w:rFonts w:hint="eastAsia" w:ascii="仿宋_GB2312" w:hAnsi="仿宋_GB2312" w:eastAsia="仿宋_GB2312" w:cs="Times New Roman"/>
          <w:color w:val="auto"/>
          <w:spacing w:val="0"/>
          <w:sz w:val="32"/>
          <w:szCs w:val="32"/>
          <w:lang w:eastAsia="zh-CN"/>
        </w:rPr>
        <w:t>坚决贯彻落实党中央、国务院和省委省政府关于根治欠薪工作的部署要求，保障农民工工资支付工作取得明显成效，有力维护了农民工合法权益，促进了社会和谐稳定。</w:t>
      </w:r>
      <w:r>
        <w:rPr>
          <w:rFonts w:hint="default" w:ascii="仿宋_GB2312" w:hAnsi="仿宋_GB2312" w:eastAsia="仿宋_GB2312" w:cs="Times New Roman"/>
          <w:color w:val="auto"/>
          <w:spacing w:val="0"/>
          <w:sz w:val="32"/>
          <w:szCs w:val="32"/>
        </w:rPr>
        <w:t>为</w:t>
      </w:r>
      <w:r>
        <w:rPr>
          <w:rFonts w:hint="eastAsia" w:ascii="仿宋_GB2312" w:hAnsi="仿宋_GB2312" w:eastAsia="仿宋_GB2312" w:cs="Times New Roman"/>
          <w:color w:val="auto"/>
          <w:spacing w:val="0"/>
          <w:sz w:val="32"/>
          <w:szCs w:val="32"/>
          <w:lang w:eastAsia="zh-CN"/>
        </w:rPr>
        <w:t>进一步强化工程建设领域欠薪问题源头预防，规范劳动用工管理，夯实工作成效，调动各工程建设项目参建单位主观能动性，按照《关于开展工程建设领域“安薪行动”的通知》有关要求，省人力资源社会保障厅、省住房城乡建设厅、省交通运输厅和省水利厅联合</w:t>
      </w:r>
      <w:r>
        <w:rPr>
          <w:rFonts w:hint="default" w:ascii="仿宋_GB2312" w:hAnsi="仿宋_GB2312" w:eastAsia="仿宋_GB2312" w:cs="Times New Roman"/>
          <w:color w:val="auto"/>
          <w:spacing w:val="0"/>
          <w:sz w:val="32"/>
          <w:szCs w:val="32"/>
        </w:rPr>
        <w:t>决定在我省</w:t>
      </w:r>
      <w:r>
        <w:rPr>
          <w:rFonts w:hint="eastAsia" w:ascii="仿宋_GB2312" w:hAnsi="仿宋_GB2312" w:eastAsia="仿宋_GB2312" w:cs="Times New Roman"/>
          <w:color w:val="auto"/>
          <w:spacing w:val="0"/>
          <w:sz w:val="32"/>
          <w:szCs w:val="32"/>
          <w:lang w:eastAsia="zh-CN"/>
        </w:rPr>
        <w:t>相关</w:t>
      </w:r>
      <w:r>
        <w:rPr>
          <w:rFonts w:hint="default" w:ascii="仿宋_GB2312" w:hAnsi="仿宋_GB2312" w:eastAsia="仿宋_GB2312" w:cs="Times New Roman"/>
          <w:color w:val="auto"/>
          <w:spacing w:val="0"/>
          <w:sz w:val="32"/>
          <w:szCs w:val="32"/>
        </w:rPr>
        <w:t>工程建设领域开展</w:t>
      </w:r>
      <w:r>
        <w:rPr>
          <w:rFonts w:hint="eastAsia" w:ascii="仿宋_GB2312" w:hAnsi="仿宋_GB2312" w:eastAsia="仿宋_GB2312" w:cs="Times New Roman"/>
          <w:color w:val="auto"/>
          <w:spacing w:val="0"/>
          <w:sz w:val="32"/>
          <w:szCs w:val="32"/>
          <w:lang w:eastAsia="zh-CN"/>
        </w:rPr>
        <w:t>“</w:t>
      </w:r>
      <w:r>
        <w:rPr>
          <w:rFonts w:hint="default" w:ascii="仿宋_GB2312" w:hAnsi="仿宋_GB2312" w:eastAsia="仿宋_GB2312" w:cs="Times New Roman"/>
          <w:color w:val="auto"/>
          <w:spacing w:val="0"/>
          <w:sz w:val="32"/>
          <w:szCs w:val="32"/>
        </w:rPr>
        <w:t>安薪项目</w:t>
      </w:r>
      <w:r>
        <w:rPr>
          <w:rFonts w:hint="eastAsia" w:ascii="仿宋_GB2312" w:hAnsi="仿宋_GB2312" w:eastAsia="仿宋_GB2312" w:cs="Times New Roman"/>
          <w:color w:val="auto"/>
          <w:spacing w:val="0"/>
          <w:sz w:val="32"/>
          <w:szCs w:val="32"/>
          <w:lang w:eastAsia="zh-CN"/>
        </w:rPr>
        <w:t>”培育活动。现将有关事项通知如下。</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仿宋_GB2312" w:cs="Times New Roman"/>
          <w:color w:val="auto"/>
          <w:spacing w:val="0"/>
          <w:sz w:val="32"/>
          <w:szCs w:val="32"/>
        </w:rPr>
      </w:pPr>
      <w:r>
        <w:rPr>
          <w:rFonts w:hint="eastAsia" w:ascii="仿宋_GB2312" w:hAnsi="仿宋_GB2312" w:eastAsia="黑体" w:cs="黑体"/>
          <w:color w:val="auto"/>
          <w:spacing w:val="0"/>
          <w:kern w:val="2"/>
          <w:sz w:val="32"/>
          <w:szCs w:val="32"/>
          <w:lang w:val="en-US" w:eastAsia="zh-CN" w:bidi="ar-SA"/>
        </w:rPr>
        <w:t>一、</w:t>
      </w:r>
      <w:r>
        <w:rPr>
          <w:rFonts w:hint="eastAsia" w:ascii="仿宋_GB2312" w:hAnsi="仿宋_GB2312" w:eastAsia="黑体" w:cs="黑体"/>
          <w:color w:val="auto"/>
          <w:spacing w:val="0"/>
          <w:sz w:val="32"/>
          <w:szCs w:val="32"/>
        </w:rPr>
        <w:t>提高思想认识</w:t>
      </w:r>
      <w:r>
        <w:rPr>
          <w:rFonts w:hint="eastAsia" w:ascii="仿宋_GB2312" w:hAnsi="仿宋_GB2312" w:eastAsia="黑体" w:cs="黑体"/>
          <w:color w:val="auto"/>
          <w:spacing w:val="0"/>
          <w:sz w:val="32"/>
          <w:szCs w:val="32"/>
          <w:lang w:eastAsia="zh-CN"/>
        </w:rPr>
        <w:t>，高度重视培育工作</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黑体" w:cs="Times New Roman"/>
          <w:color w:val="auto"/>
          <w:spacing w:val="0"/>
          <w:sz w:val="32"/>
          <w:szCs w:val="32"/>
        </w:rPr>
      </w:pPr>
      <w:r>
        <w:rPr>
          <w:rFonts w:hint="default" w:ascii="仿宋_GB2312" w:hAnsi="仿宋_GB2312" w:eastAsia="仿宋_GB2312" w:cs="Times New Roman"/>
          <w:color w:val="auto"/>
          <w:spacing w:val="0"/>
          <w:sz w:val="32"/>
          <w:szCs w:val="32"/>
        </w:rPr>
        <w:t>要充分认识开展</w:t>
      </w:r>
      <w:r>
        <w:rPr>
          <w:rFonts w:hint="eastAsia" w:ascii="仿宋_GB2312" w:hAnsi="仿宋_GB2312" w:eastAsia="仿宋_GB2312" w:cs="Times New Roman"/>
          <w:color w:val="auto"/>
          <w:spacing w:val="0"/>
          <w:sz w:val="32"/>
          <w:szCs w:val="32"/>
          <w:lang w:eastAsia="zh-CN"/>
        </w:rPr>
        <w:t>培育“安薪项目”活动</w:t>
      </w:r>
      <w:r>
        <w:rPr>
          <w:rFonts w:hint="default" w:ascii="仿宋_GB2312" w:hAnsi="仿宋_GB2312" w:eastAsia="仿宋_GB2312" w:cs="Times New Roman"/>
          <w:color w:val="auto"/>
          <w:spacing w:val="0"/>
          <w:sz w:val="32"/>
          <w:szCs w:val="32"/>
        </w:rPr>
        <w:t>是贯彻落实党中央、国务院</w:t>
      </w:r>
      <w:r>
        <w:rPr>
          <w:rFonts w:hint="eastAsia" w:ascii="仿宋_GB2312" w:hAnsi="仿宋_GB2312" w:eastAsia="仿宋_GB2312" w:cs="Times New Roman"/>
          <w:color w:val="auto"/>
          <w:spacing w:val="0"/>
          <w:sz w:val="32"/>
          <w:szCs w:val="32"/>
          <w:lang w:eastAsia="zh-CN"/>
        </w:rPr>
        <w:t>和省委省政府</w:t>
      </w:r>
      <w:r>
        <w:rPr>
          <w:rFonts w:hint="default" w:ascii="仿宋_GB2312" w:hAnsi="仿宋_GB2312" w:eastAsia="仿宋_GB2312" w:cs="Times New Roman"/>
          <w:color w:val="auto"/>
          <w:spacing w:val="0"/>
          <w:sz w:val="32"/>
          <w:szCs w:val="32"/>
        </w:rPr>
        <w:t>关于根治欠薪工作决策部署</w:t>
      </w:r>
      <w:r>
        <w:rPr>
          <w:rFonts w:hint="eastAsia" w:ascii="仿宋_GB2312" w:hAnsi="仿宋_GB2312" w:eastAsia="仿宋_GB2312" w:cs="Times New Roman"/>
          <w:color w:val="auto"/>
          <w:spacing w:val="0"/>
          <w:sz w:val="32"/>
          <w:szCs w:val="32"/>
          <w:lang w:eastAsia="zh-CN"/>
        </w:rPr>
        <w:t>、</w:t>
      </w:r>
      <w:r>
        <w:rPr>
          <w:rFonts w:hint="default" w:ascii="仿宋_GB2312" w:hAnsi="仿宋_GB2312" w:eastAsia="仿宋_GB2312" w:cs="Times New Roman"/>
          <w:color w:val="auto"/>
          <w:spacing w:val="0"/>
          <w:sz w:val="32"/>
          <w:szCs w:val="32"/>
        </w:rPr>
        <w:t>创新推进新形势下根治欠薪工作的重要举措，是从源头预防欠薪问题发生的有力支撑。</w:t>
      </w:r>
      <w:r>
        <w:rPr>
          <w:rFonts w:hint="eastAsia" w:ascii="仿宋_GB2312" w:hAnsi="仿宋_GB2312" w:eastAsia="仿宋_GB2312" w:cs="Times New Roman"/>
          <w:color w:val="auto"/>
          <w:spacing w:val="0"/>
          <w:sz w:val="32"/>
          <w:szCs w:val="32"/>
          <w:lang w:eastAsia="zh-CN"/>
        </w:rPr>
        <w:t>要以落实《保障农民工工资支付条例》为主线，</w:t>
      </w:r>
      <w:r>
        <w:rPr>
          <w:rFonts w:hint="default" w:ascii="仿宋_GB2312" w:hAnsi="仿宋_GB2312" w:eastAsia="仿宋_GB2312" w:cs="Times New Roman"/>
          <w:color w:val="auto"/>
          <w:spacing w:val="0"/>
          <w:sz w:val="32"/>
          <w:szCs w:val="32"/>
        </w:rPr>
        <w:t>坚持源头治理、全程监管、防治结合、标本兼治，</w:t>
      </w:r>
      <w:r>
        <w:rPr>
          <w:rFonts w:hint="eastAsia" w:ascii="仿宋_GB2312" w:hAnsi="仿宋_GB2312" w:eastAsia="仿宋_GB2312" w:cs="Times New Roman"/>
          <w:color w:val="auto"/>
          <w:spacing w:val="0"/>
          <w:sz w:val="32"/>
          <w:szCs w:val="32"/>
          <w:lang w:eastAsia="zh-CN"/>
        </w:rPr>
        <w:t>健全完善保障农民工工资支付</w:t>
      </w:r>
      <w:r>
        <w:rPr>
          <w:rFonts w:hint="default" w:ascii="仿宋_GB2312" w:hAnsi="仿宋_GB2312" w:eastAsia="仿宋_GB2312" w:cs="Times New Roman"/>
          <w:color w:val="auto"/>
          <w:spacing w:val="0"/>
          <w:sz w:val="32"/>
          <w:szCs w:val="32"/>
        </w:rPr>
        <w:t>长效机制，</w:t>
      </w:r>
      <w:r>
        <w:rPr>
          <w:rFonts w:hint="eastAsia" w:ascii="仿宋_GB2312" w:hAnsi="仿宋_GB2312" w:eastAsia="仿宋_GB2312" w:cs="Times New Roman"/>
          <w:color w:val="auto"/>
          <w:spacing w:val="0"/>
          <w:sz w:val="32"/>
          <w:szCs w:val="32"/>
          <w:lang w:eastAsia="zh-CN"/>
        </w:rPr>
        <w:t>通过项目培育，充分调动市场主体主观能动性，推进制度落实，</w:t>
      </w:r>
      <w:r>
        <w:rPr>
          <w:rFonts w:hint="default" w:ascii="仿宋_GB2312" w:hAnsi="仿宋_GB2312" w:eastAsia="仿宋_GB2312" w:cs="Times New Roman"/>
          <w:color w:val="auto"/>
          <w:spacing w:val="0"/>
          <w:sz w:val="32"/>
          <w:szCs w:val="32"/>
        </w:rPr>
        <w:t>营造</w:t>
      </w:r>
      <w:r>
        <w:rPr>
          <w:rFonts w:hint="eastAsia" w:ascii="仿宋_GB2312" w:hAnsi="仿宋_GB2312" w:eastAsia="仿宋_GB2312" w:cs="Times New Roman"/>
          <w:color w:val="auto"/>
          <w:spacing w:val="0"/>
          <w:sz w:val="32"/>
          <w:szCs w:val="32"/>
          <w:lang w:eastAsia="zh-CN"/>
        </w:rPr>
        <w:t>不欠薪</w:t>
      </w:r>
      <w:r>
        <w:rPr>
          <w:rFonts w:hint="default" w:ascii="仿宋_GB2312" w:hAnsi="仿宋_GB2312" w:eastAsia="仿宋_GB2312" w:cs="Times New Roman"/>
          <w:color w:val="auto"/>
          <w:spacing w:val="0"/>
          <w:sz w:val="32"/>
          <w:szCs w:val="32"/>
        </w:rPr>
        <w:t>的良好氛围，使维护农民工工资报酬权益成为全社会的思想共识和自觉行动。</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left="0" w:leftChars="0" w:firstLine="632" w:firstLineChars="200"/>
        <w:textAlignment w:val="auto"/>
        <w:rPr>
          <w:rFonts w:hint="eastAsia" w:ascii="仿宋_GB2312" w:hAnsi="仿宋_GB2312" w:eastAsia="黑体" w:cs="黑体"/>
          <w:color w:val="auto"/>
          <w:spacing w:val="0"/>
          <w:sz w:val="32"/>
          <w:szCs w:val="32"/>
          <w:lang w:val="en-US" w:eastAsia="zh-CN"/>
        </w:rPr>
      </w:pPr>
      <w:r>
        <w:rPr>
          <w:rFonts w:hint="eastAsia" w:ascii="仿宋_GB2312" w:hAnsi="仿宋_GB2312" w:eastAsia="黑体" w:cs="黑体"/>
          <w:color w:val="auto"/>
          <w:spacing w:val="0"/>
          <w:kern w:val="2"/>
          <w:sz w:val="32"/>
          <w:szCs w:val="32"/>
          <w:lang w:val="en-US" w:eastAsia="zh-CN" w:bidi="ar-SA"/>
        </w:rPr>
        <w:t>二、</w:t>
      </w:r>
      <w:r>
        <w:rPr>
          <w:rFonts w:hint="eastAsia" w:ascii="仿宋_GB2312" w:hAnsi="仿宋_GB2312" w:eastAsia="黑体" w:cs="黑体"/>
          <w:color w:val="auto"/>
          <w:spacing w:val="0"/>
          <w:sz w:val="32"/>
          <w:szCs w:val="32"/>
          <w:lang w:val="en-US" w:eastAsia="zh-CN"/>
        </w:rPr>
        <w:t>强化工作举措，精心组织实施</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Times New Roman"/>
          <w:color w:val="auto"/>
          <w:spacing w:val="0"/>
          <w:sz w:val="32"/>
          <w:szCs w:val="32"/>
          <w:lang w:eastAsia="zh-CN"/>
        </w:rPr>
      </w:pPr>
      <w:r>
        <w:rPr>
          <w:rFonts w:hint="eastAsia" w:ascii="仿宋_GB2312" w:hAnsi="仿宋_GB2312" w:eastAsia="仿宋_GB2312" w:cs="Times New Roman"/>
          <w:color w:val="auto"/>
          <w:spacing w:val="0"/>
          <w:sz w:val="32"/>
          <w:szCs w:val="32"/>
          <w:lang w:eastAsia="zh-CN"/>
        </w:rPr>
        <w:t>各级人力资源社会保障、住房城乡建设、交通运输、水利部门</w:t>
      </w:r>
      <w:r>
        <w:rPr>
          <w:rFonts w:hint="default" w:ascii="仿宋_GB2312" w:hAnsi="仿宋_GB2312" w:eastAsia="仿宋_GB2312" w:cs="Times New Roman"/>
          <w:color w:val="auto"/>
          <w:spacing w:val="0"/>
          <w:sz w:val="32"/>
          <w:szCs w:val="32"/>
        </w:rPr>
        <w:t>要加强组织领导，把</w:t>
      </w:r>
      <w:r>
        <w:rPr>
          <w:rFonts w:hint="eastAsia" w:ascii="仿宋_GB2312" w:hAnsi="仿宋_GB2312" w:eastAsia="仿宋_GB2312" w:cs="Times New Roman"/>
          <w:color w:val="auto"/>
          <w:spacing w:val="0"/>
          <w:sz w:val="32"/>
          <w:szCs w:val="32"/>
          <w:lang w:eastAsia="zh-CN"/>
        </w:rPr>
        <w:t>培育活动</w:t>
      </w:r>
      <w:r>
        <w:rPr>
          <w:rFonts w:hint="default" w:ascii="仿宋_GB2312" w:hAnsi="仿宋_GB2312" w:eastAsia="仿宋_GB2312" w:cs="Times New Roman"/>
          <w:color w:val="auto"/>
          <w:spacing w:val="0"/>
          <w:sz w:val="32"/>
          <w:szCs w:val="32"/>
        </w:rPr>
        <w:t>摆上重要日程，按照统一要求，</w:t>
      </w:r>
      <w:r>
        <w:rPr>
          <w:rFonts w:hint="eastAsia" w:ascii="仿宋_GB2312" w:hAnsi="仿宋_GB2312" w:eastAsia="仿宋_GB2312" w:cs="Times New Roman"/>
          <w:color w:val="auto"/>
          <w:spacing w:val="0"/>
          <w:sz w:val="32"/>
          <w:szCs w:val="32"/>
          <w:lang w:eastAsia="zh-CN"/>
        </w:rPr>
        <w:t>结合“三课”服务工作、日常调研等工作，加强对项目的服务指导，主动靠上，协助解决项目在保障农民工工资支付工作方面遇到的问题。同时，各级应选择业务骨干组成专家团队，参与对项目的培育指导。</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86" w:lineRule="exact"/>
        <w:ind w:left="0" w:leftChars="0" w:firstLine="632" w:firstLineChars="200"/>
        <w:textAlignment w:val="auto"/>
        <w:rPr>
          <w:rFonts w:hint="eastAsia" w:ascii="仿宋_GB2312" w:hAnsi="仿宋_GB2312" w:eastAsia="楷体_GB2312" w:cs="楷体_GB2312"/>
          <w:color w:val="auto"/>
          <w:spacing w:val="0"/>
          <w:sz w:val="32"/>
          <w:szCs w:val="32"/>
          <w:lang w:val="en-US" w:eastAsia="zh-CN"/>
        </w:rPr>
      </w:pPr>
      <w:r>
        <w:rPr>
          <w:rFonts w:hint="eastAsia" w:ascii="仿宋_GB2312" w:hAnsi="仿宋_GB2312" w:eastAsia="楷体_GB2312" w:cs="楷体_GB2312"/>
          <w:color w:val="auto"/>
          <w:spacing w:val="0"/>
          <w:kern w:val="2"/>
          <w:sz w:val="32"/>
          <w:szCs w:val="32"/>
          <w:lang w:val="en-US" w:eastAsia="zh-CN" w:bidi="ar-SA"/>
        </w:rPr>
        <w:t>（一）</w:t>
      </w:r>
      <w:r>
        <w:rPr>
          <w:rFonts w:hint="eastAsia" w:ascii="仿宋_GB2312" w:hAnsi="仿宋_GB2312" w:eastAsia="楷体_GB2312" w:cs="楷体_GB2312"/>
          <w:color w:val="auto"/>
          <w:spacing w:val="0"/>
          <w:sz w:val="32"/>
          <w:szCs w:val="32"/>
          <w:lang w:eastAsia="zh-CN"/>
        </w:rPr>
        <w:t>培育对象</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86" w:lineRule="exact"/>
        <w:ind w:left="0" w:leftChars="0" w:firstLine="632" w:firstLineChars="200"/>
        <w:textAlignment w:val="auto"/>
        <w:rPr>
          <w:rFonts w:hint="eastAsia" w:ascii="仿宋_GB2312" w:hAnsi="仿宋_GB2312" w:eastAsia="仿宋_GB2312" w:cs="Times New Roman"/>
          <w:color w:val="auto"/>
          <w:spacing w:val="0"/>
          <w:sz w:val="32"/>
          <w:szCs w:val="32"/>
          <w:lang w:val="en-US" w:eastAsia="zh-CN"/>
        </w:rPr>
      </w:pPr>
      <w:r>
        <w:rPr>
          <w:rFonts w:hint="eastAsia" w:ascii="仿宋_GB2312" w:hAnsi="仿宋_GB2312" w:eastAsia="仿宋_GB2312" w:cs="Times New Roman"/>
          <w:color w:val="auto"/>
          <w:spacing w:val="0"/>
          <w:sz w:val="32"/>
          <w:szCs w:val="32"/>
          <w:lang w:val="en-US" w:eastAsia="zh-CN"/>
        </w:rPr>
        <w:t>培育对象为所有在建工程建设项目，特别是重大项目、“联点包挂”项目和政府、国有企业投资项目。</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86" w:lineRule="exact"/>
        <w:ind w:left="0" w:leftChars="0" w:firstLine="632" w:firstLineChars="200"/>
        <w:textAlignment w:val="auto"/>
        <w:rPr>
          <w:rFonts w:hint="eastAsia" w:ascii="仿宋_GB2312" w:hAnsi="仿宋_GB2312" w:eastAsia="楷体_GB2312" w:cs="楷体_GB2312"/>
          <w:color w:val="auto"/>
          <w:spacing w:val="0"/>
          <w:sz w:val="32"/>
          <w:szCs w:val="32"/>
          <w:lang w:val="en-US" w:eastAsia="zh-CN"/>
        </w:rPr>
      </w:pPr>
      <w:r>
        <w:rPr>
          <w:rFonts w:hint="eastAsia" w:ascii="仿宋_GB2312" w:hAnsi="仿宋_GB2312" w:eastAsia="楷体_GB2312" w:cs="楷体_GB2312"/>
          <w:color w:val="auto"/>
          <w:spacing w:val="0"/>
          <w:kern w:val="2"/>
          <w:sz w:val="32"/>
          <w:szCs w:val="32"/>
          <w:lang w:val="en-US" w:eastAsia="zh-CN" w:bidi="ar-SA"/>
        </w:rPr>
        <w:t>（二）</w:t>
      </w:r>
      <w:r>
        <w:rPr>
          <w:rFonts w:hint="eastAsia" w:ascii="仿宋_GB2312" w:hAnsi="仿宋_GB2312" w:eastAsia="楷体_GB2312" w:cs="楷体_GB2312"/>
          <w:color w:val="auto"/>
          <w:spacing w:val="0"/>
          <w:sz w:val="32"/>
          <w:szCs w:val="32"/>
          <w:lang w:val="en-US" w:eastAsia="zh-CN"/>
        </w:rPr>
        <w:t>培育内容</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86" w:lineRule="exact"/>
        <w:ind w:left="0" w:leftChars="0" w:firstLine="632" w:firstLineChars="200"/>
        <w:textAlignment w:val="auto"/>
        <w:rPr>
          <w:rFonts w:hint="default" w:ascii="仿宋_GB2312" w:hAnsi="仿宋_GB2312" w:eastAsia="楷体_GB2312" w:cs="楷体_GB2312"/>
          <w:color w:val="auto"/>
          <w:spacing w:val="0"/>
          <w:sz w:val="32"/>
          <w:szCs w:val="32"/>
          <w:lang w:val="en-US" w:eastAsia="zh-CN"/>
        </w:rPr>
      </w:pPr>
      <w:r>
        <w:rPr>
          <w:rFonts w:hint="default" w:ascii="仿宋_GB2312" w:hAnsi="仿宋_GB2312" w:eastAsia="仿宋_GB2312" w:cs="Times New Roman"/>
          <w:color w:val="auto"/>
          <w:spacing w:val="0"/>
          <w:sz w:val="32"/>
          <w:szCs w:val="32"/>
        </w:rPr>
        <w:t>县（市、区）人力资源社会保障</w:t>
      </w:r>
      <w:r>
        <w:rPr>
          <w:rFonts w:hint="eastAsia" w:ascii="仿宋_GB2312" w:hAnsi="仿宋_GB2312" w:eastAsia="仿宋_GB2312" w:cs="Times New Roman"/>
          <w:color w:val="auto"/>
          <w:spacing w:val="0"/>
          <w:sz w:val="32"/>
          <w:szCs w:val="32"/>
          <w:lang w:eastAsia="zh-CN"/>
        </w:rPr>
        <w:t>部门</w:t>
      </w:r>
      <w:r>
        <w:rPr>
          <w:rFonts w:hint="default" w:ascii="仿宋_GB2312" w:hAnsi="仿宋_GB2312" w:eastAsia="仿宋_GB2312" w:cs="Times New Roman"/>
          <w:color w:val="auto"/>
          <w:spacing w:val="0"/>
          <w:sz w:val="32"/>
          <w:szCs w:val="32"/>
        </w:rPr>
        <w:t>会同相关行业工程建设主管部门</w:t>
      </w:r>
      <w:r>
        <w:rPr>
          <w:rFonts w:hint="eastAsia" w:ascii="仿宋_GB2312" w:hAnsi="仿宋_GB2312" w:eastAsia="仿宋_GB2312" w:cs="Times New Roman"/>
          <w:color w:val="auto"/>
          <w:spacing w:val="0"/>
          <w:sz w:val="32"/>
          <w:szCs w:val="32"/>
          <w:lang w:eastAsia="zh-CN"/>
        </w:rPr>
        <w:t>和相关属地街镇就下列内容对项目进行培育：</w:t>
      </w:r>
    </w:p>
    <w:p>
      <w:pPr>
        <w:pStyle w:val="2"/>
        <w:keepNext w:val="0"/>
        <w:keepLines w:val="0"/>
        <w:pageBreakBefore w:val="0"/>
        <w:widowControl w:val="0"/>
        <w:numPr>
          <w:ilvl w:val="0"/>
          <w:numId w:val="0"/>
        </w:numPr>
        <w:kinsoku/>
        <w:wordWrap/>
        <w:overflowPunct/>
        <w:topLinePunct w:val="0"/>
        <w:autoSpaceDE/>
        <w:autoSpaceDN/>
        <w:bidi w:val="0"/>
        <w:adjustRightInd/>
        <w:snapToGrid w:val="0"/>
        <w:spacing w:after="0" w:afterLines="0" w:line="586" w:lineRule="exact"/>
        <w:ind w:left="0" w:leftChars="0" w:firstLine="632" w:firstLineChars="200"/>
        <w:textAlignment w:val="auto"/>
        <w:rPr>
          <w:rFonts w:hint="eastAsia" w:ascii="仿宋_GB2312" w:hAnsi="仿宋_GB2312" w:eastAsia="仿宋_GB2312"/>
          <w:color w:val="auto"/>
          <w:spacing w:val="0"/>
          <w:sz w:val="32"/>
          <w:szCs w:val="32"/>
          <w:lang w:val="en-US" w:eastAsia="zh-CN"/>
        </w:rPr>
      </w:pPr>
      <w:r>
        <w:rPr>
          <w:rFonts w:hint="eastAsia" w:ascii="仿宋_GB2312" w:hAnsi="仿宋_GB2312" w:eastAsia="仿宋_GB2312" w:cs="Times New Roman"/>
          <w:color w:val="auto"/>
          <w:spacing w:val="0"/>
          <w:sz w:val="32"/>
          <w:szCs w:val="32"/>
          <w:lang w:val="en-US" w:eastAsia="zh-CN"/>
        </w:rPr>
        <w:t>1.</w:t>
      </w:r>
      <w:r>
        <w:rPr>
          <w:rFonts w:hint="eastAsia" w:ascii="仿宋_GB2312" w:hAnsi="仿宋_GB2312" w:eastAsia="仿宋_GB2312"/>
          <w:color w:val="auto"/>
          <w:spacing w:val="0"/>
          <w:sz w:val="32"/>
          <w:szCs w:val="32"/>
        </w:rPr>
        <w:t>项目高度重视保障农民工工资支付工作，按照国家有关法</w:t>
      </w:r>
      <w:r>
        <w:rPr>
          <w:rFonts w:hint="eastAsia" w:ascii="仿宋_GB2312" w:hAnsi="仿宋_GB2312" w:eastAsia="仿宋_GB2312"/>
          <w:color w:val="auto"/>
          <w:spacing w:val="3"/>
          <w:sz w:val="32"/>
          <w:szCs w:val="32"/>
        </w:rPr>
        <w:t>律规定加强劳动用工管理，规范工资支付行为。</w:t>
      </w:r>
      <w:r>
        <w:rPr>
          <w:rFonts w:hint="eastAsia" w:ascii="仿宋_GB2312" w:hAnsi="仿宋_GB2312" w:eastAsia="仿宋_GB2312"/>
          <w:color w:val="auto"/>
          <w:spacing w:val="3"/>
          <w:sz w:val="32"/>
          <w:szCs w:val="32"/>
          <w:lang w:eastAsia="zh-CN"/>
        </w:rPr>
        <w:t>建设单位以项目为单位建立保障农民工工资支付协调机制和工资拖欠预防机制。</w:t>
      </w:r>
      <w:r>
        <w:rPr>
          <w:rFonts w:hint="eastAsia" w:ascii="仿宋_GB2312" w:hAnsi="仿宋_GB2312" w:eastAsia="仿宋_GB2312"/>
          <w:color w:val="auto"/>
          <w:spacing w:val="3"/>
          <w:sz w:val="32"/>
          <w:szCs w:val="32"/>
        </w:rPr>
        <w:t>常态组织保障农民工工资支付法规政策的宣传，营造良好氛围。</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olor w:val="auto"/>
          <w:spacing w:val="0"/>
          <w:sz w:val="32"/>
          <w:szCs w:val="32"/>
        </w:rPr>
      </w:pPr>
      <w:r>
        <w:rPr>
          <w:rFonts w:hint="eastAsia" w:ascii="仿宋_GB2312" w:hAnsi="仿宋_GB2312" w:eastAsia="仿宋_GB2312"/>
          <w:color w:val="auto"/>
          <w:spacing w:val="0"/>
          <w:sz w:val="32"/>
          <w:szCs w:val="32"/>
          <w:lang w:val="en-US" w:eastAsia="zh-CN"/>
        </w:rPr>
        <w:t>2.</w:t>
      </w:r>
      <w:r>
        <w:rPr>
          <w:rFonts w:hint="eastAsia" w:ascii="仿宋_GB2312" w:hAnsi="仿宋_GB2312" w:eastAsia="仿宋_GB2312"/>
          <w:color w:val="auto"/>
          <w:spacing w:val="0"/>
          <w:sz w:val="32"/>
          <w:szCs w:val="32"/>
        </w:rPr>
        <w:t>项目依法履行招投标程序，办理施工许可证，规范签订工程施工合同和分包合同。总包单位、分包单位、监理单位具备相应资质等级，在资质等级许可的范围内从事建筑活动。严格依法发包与承包，不存在违法发包、转包、违法分包、挂靠等违法违规行为。建设单位项目负责人、总包单位项目经理、监理单位</w:t>
      </w:r>
      <w:r>
        <w:rPr>
          <w:rFonts w:hint="eastAsia" w:ascii="仿宋_GB2312" w:hAnsi="仿宋_GB2312" w:eastAsia="仿宋_GB2312"/>
          <w:color w:val="auto"/>
          <w:spacing w:val="-6"/>
          <w:sz w:val="32"/>
          <w:szCs w:val="32"/>
        </w:rPr>
        <w:t>总监理工程师、劳资专管员等</w:t>
      </w:r>
      <w:r>
        <w:rPr>
          <w:rFonts w:hint="eastAsia" w:ascii="仿宋_GB2312" w:hAnsi="仿宋_GB2312" w:eastAsia="仿宋_GB2312"/>
          <w:color w:val="auto"/>
          <w:spacing w:val="-6"/>
          <w:sz w:val="32"/>
          <w:szCs w:val="32"/>
          <w:lang w:eastAsia="zh-CN"/>
        </w:rPr>
        <w:t>主要人员</w:t>
      </w:r>
      <w:r>
        <w:rPr>
          <w:rFonts w:hint="eastAsia" w:ascii="仿宋_GB2312" w:hAnsi="仿宋_GB2312" w:eastAsia="仿宋_GB2312"/>
          <w:color w:val="auto"/>
          <w:spacing w:val="-6"/>
          <w:sz w:val="32"/>
          <w:szCs w:val="32"/>
        </w:rPr>
        <w:t>在岗在位，履职尽责良好。</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olor w:val="auto"/>
          <w:spacing w:val="0"/>
          <w:sz w:val="32"/>
          <w:szCs w:val="32"/>
        </w:rPr>
      </w:pPr>
      <w:r>
        <w:rPr>
          <w:rFonts w:hint="eastAsia" w:ascii="仿宋_GB2312" w:hAnsi="仿宋_GB2312" w:eastAsia="仿宋_GB2312"/>
          <w:color w:val="auto"/>
          <w:spacing w:val="0"/>
          <w:sz w:val="32"/>
          <w:szCs w:val="32"/>
          <w:lang w:val="en-US" w:eastAsia="zh-CN"/>
        </w:rPr>
        <w:t>3.</w:t>
      </w:r>
      <w:r>
        <w:rPr>
          <w:rFonts w:hint="eastAsia" w:ascii="仿宋_GB2312" w:hAnsi="仿宋_GB2312" w:eastAsia="仿宋_GB2312"/>
          <w:color w:val="auto"/>
          <w:spacing w:val="0"/>
          <w:sz w:val="32"/>
          <w:szCs w:val="32"/>
        </w:rPr>
        <w:t>项目规范落实实名制管理、农民工工资专用账户、总包单位代发工资、工资保证金、工程款支付担保、维权信息公示等农民工工资支付保障制度。</w:t>
      </w:r>
      <w:r>
        <w:rPr>
          <w:rFonts w:hint="eastAsia" w:ascii="仿宋_GB2312" w:hAnsi="仿宋_GB2312" w:eastAsia="仿宋_GB2312"/>
          <w:color w:val="auto"/>
          <w:spacing w:val="0"/>
          <w:sz w:val="32"/>
          <w:szCs w:val="32"/>
          <w:lang w:eastAsia="zh-CN"/>
        </w:rPr>
        <w:t>配置</w:t>
      </w:r>
      <w:r>
        <w:rPr>
          <w:rFonts w:hint="eastAsia" w:ascii="仿宋_GB2312" w:hAnsi="仿宋_GB2312" w:eastAsia="仿宋_GB2312"/>
          <w:color w:val="auto"/>
          <w:spacing w:val="0"/>
          <w:sz w:val="32"/>
          <w:szCs w:val="32"/>
        </w:rPr>
        <w:t>实名制硬件设备，严格实施实名制考勤管理。实行工程款和人工费用分账管理，建设单位按时</w:t>
      </w:r>
      <w:r>
        <w:rPr>
          <w:rFonts w:hint="eastAsia" w:ascii="仿宋_GB2312" w:hAnsi="仿宋_GB2312" w:eastAsia="仿宋_GB2312"/>
          <w:color w:val="auto"/>
          <w:spacing w:val="0"/>
          <w:sz w:val="32"/>
          <w:szCs w:val="32"/>
          <w:lang w:eastAsia="zh-CN"/>
        </w:rPr>
        <w:t>足额</w:t>
      </w:r>
      <w:r>
        <w:rPr>
          <w:rFonts w:hint="eastAsia" w:ascii="仿宋_GB2312" w:hAnsi="仿宋_GB2312" w:eastAsia="仿宋_GB2312"/>
          <w:color w:val="auto"/>
          <w:spacing w:val="0"/>
          <w:sz w:val="32"/>
          <w:szCs w:val="32"/>
        </w:rPr>
        <w:t>向总包单位银行账户</w:t>
      </w:r>
      <w:r>
        <w:rPr>
          <w:rFonts w:hint="eastAsia" w:ascii="仿宋_GB2312" w:hAnsi="仿宋_GB2312" w:eastAsia="仿宋_GB2312"/>
          <w:color w:val="auto"/>
          <w:spacing w:val="0"/>
          <w:sz w:val="32"/>
          <w:szCs w:val="32"/>
          <w:lang w:eastAsia="zh-CN"/>
        </w:rPr>
        <w:t>和农民工工资专用账户</w:t>
      </w:r>
      <w:r>
        <w:rPr>
          <w:rFonts w:hint="eastAsia" w:ascii="仿宋_GB2312" w:hAnsi="仿宋_GB2312" w:eastAsia="仿宋_GB2312"/>
          <w:color w:val="auto"/>
          <w:spacing w:val="0"/>
          <w:sz w:val="32"/>
          <w:szCs w:val="32"/>
        </w:rPr>
        <w:t>分别拨付工程款和人工费用。规范工资支付流程，确保农民工的劳动合同、考勤表、工资支付表、银行代发记录一一对应，做到按月</w:t>
      </w:r>
      <w:r>
        <w:rPr>
          <w:rFonts w:hint="eastAsia" w:ascii="仿宋_GB2312" w:hAnsi="仿宋_GB2312" w:eastAsia="仿宋_GB2312"/>
          <w:color w:val="auto"/>
          <w:spacing w:val="0"/>
          <w:sz w:val="32"/>
          <w:szCs w:val="32"/>
        </w:rPr>
        <w:t>足额发放。</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olor w:val="auto"/>
          <w:spacing w:val="0"/>
          <w:sz w:val="32"/>
          <w:szCs w:val="32"/>
          <w:lang w:eastAsia="zh-CN"/>
        </w:rPr>
      </w:pPr>
      <w:r>
        <w:rPr>
          <w:rFonts w:hint="eastAsia" w:ascii="仿宋_GB2312" w:hAnsi="仿宋_GB2312" w:eastAsia="仿宋_GB2312"/>
          <w:color w:val="auto"/>
          <w:spacing w:val="0"/>
          <w:sz w:val="32"/>
          <w:szCs w:val="32"/>
          <w:lang w:val="en-US" w:eastAsia="zh-CN"/>
        </w:rPr>
        <w:t>4.</w:t>
      </w:r>
      <w:r>
        <w:rPr>
          <w:rFonts w:hint="eastAsia" w:ascii="仿宋_GB2312" w:hAnsi="仿宋_GB2312" w:eastAsia="仿宋_GB2312"/>
          <w:color w:val="auto"/>
          <w:spacing w:val="0"/>
          <w:sz w:val="32"/>
          <w:szCs w:val="32"/>
        </w:rPr>
        <w:t>项目</w:t>
      </w:r>
      <w:r>
        <w:rPr>
          <w:rFonts w:hint="eastAsia" w:ascii="仿宋_GB2312" w:hAnsi="仿宋_GB2312" w:eastAsia="仿宋_GB2312"/>
          <w:color w:val="auto"/>
          <w:spacing w:val="0"/>
          <w:sz w:val="32"/>
          <w:szCs w:val="32"/>
          <w:lang w:eastAsia="zh-CN"/>
        </w:rPr>
        <w:t>纳入省农民工工资支付监管平台管理</w:t>
      </w:r>
      <w:r>
        <w:rPr>
          <w:rFonts w:hint="eastAsia" w:ascii="仿宋_GB2312" w:hAnsi="仿宋_GB2312" w:eastAsia="仿宋_GB2312" w:cs="仿宋_GB2312"/>
          <w:color w:val="auto"/>
          <w:spacing w:val="0"/>
          <w:sz w:val="32"/>
          <w:szCs w:val="32"/>
          <w:lang w:eastAsia="zh-CN"/>
        </w:rPr>
        <w:t>，</w:t>
      </w:r>
      <w:r>
        <w:rPr>
          <w:rFonts w:hint="eastAsia" w:ascii="仿宋_GB2312" w:hAnsi="仿宋_GB2312" w:eastAsia="仿宋_GB2312" w:cs="仿宋_GB2312"/>
          <w:i w:val="0"/>
          <w:iCs w:val="0"/>
          <w:caps w:val="0"/>
          <w:color w:val="auto"/>
          <w:spacing w:val="0"/>
          <w:sz w:val="32"/>
          <w:szCs w:val="32"/>
          <w:shd w:val="clear" w:color="auto" w:fill="FFFFFF"/>
        </w:rPr>
        <w:t>数据质量达标，预警处置及时到位</w:t>
      </w:r>
      <w:r>
        <w:rPr>
          <w:rFonts w:hint="eastAsia" w:ascii="仿宋_GB2312" w:hAnsi="仿宋_GB2312" w:eastAsia="仿宋_GB2312" w:cs="仿宋_GB2312"/>
          <w:i w:val="0"/>
          <w:iCs w:val="0"/>
          <w:caps w:val="0"/>
          <w:color w:val="auto"/>
          <w:spacing w:val="0"/>
          <w:sz w:val="32"/>
          <w:szCs w:val="32"/>
          <w:shd w:val="clear" w:color="auto" w:fill="FFFFFF"/>
          <w:lang w:eastAsia="zh-CN"/>
        </w:rPr>
        <w:t>、</w:t>
      </w:r>
      <w:r>
        <w:rPr>
          <w:rFonts w:hint="eastAsia" w:ascii="仿宋_GB2312" w:hAnsi="仿宋_GB2312" w:eastAsia="仿宋_GB2312" w:cs="仿宋_GB2312"/>
          <w:i w:val="0"/>
          <w:iCs w:val="0"/>
          <w:caps w:val="0"/>
          <w:color w:val="auto"/>
          <w:spacing w:val="0"/>
          <w:sz w:val="32"/>
          <w:szCs w:val="32"/>
          <w:shd w:val="clear" w:color="auto" w:fill="FFFFFF"/>
        </w:rPr>
        <w:t>动态清零</w:t>
      </w:r>
      <w:r>
        <w:rPr>
          <w:rFonts w:hint="eastAsia" w:ascii="仿宋_GB2312" w:hAnsi="仿宋_GB2312" w:eastAsia="仿宋_GB2312"/>
          <w:color w:val="auto"/>
          <w:spacing w:val="0"/>
          <w:sz w:val="32"/>
          <w:szCs w:val="32"/>
        </w:rPr>
        <w:t>。对欠薪风险隐患早发现、早预警、早处置，积极配合有关部门处置欠薪案件、线索、舆情。</w:t>
      </w:r>
      <w:r>
        <w:rPr>
          <w:rFonts w:hint="eastAsia" w:ascii="仿宋_GB2312" w:hAnsi="仿宋_GB2312" w:eastAsia="仿宋_GB2312"/>
          <w:color w:val="auto"/>
          <w:spacing w:val="0"/>
          <w:sz w:val="32"/>
          <w:szCs w:val="32"/>
        </w:rPr>
        <w:t>按照《</w:t>
      </w:r>
      <w:r>
        <w:rPr>
          <w:rFonts w:hint="eastAsia" w:ascii="仿宋_GB2312" w:hAnsi="仿宋_GB2312" w:eastAsia="仿宋_GB2312"/>
          <w:color w:val="auto"/>
          <w:spacing w:val="0"/>
          <w:sz w:val="32"/>
          <w:szCs w:val="32"/>
          <w:lang w:eastAsia="zh-CN"/>
        </w:rPr>
        <w:t>山东省工程建设领域保障农民工工资支付工作</w:t>
      </w:r>
      <w:r>
        <w:rPr>
          <w:rFonts w:hint="eastAsia" w:ascii="仿宋_GB2312" w:hAnsi="仿宋_GB2312" w:eastAsia="仿宋_GB2312"/>
          <w:color w:val="auto"/>
          <w:spacing w:val="0"/>
          <w:sz w:val="32"/>
          <w:szCs w:val="32"/>
        </w:rPr>
        <w:t>指导手册（第一版）》要求，分类归档有关台账资料，妥善保存</w:t>
      </w:r>
      <w:r>
        <w:rPr>
          <w:rFonts w:hint="eastAsia" w:ascii="仿宋_GB2312" w:hAnsi="仿宋_GB2312" w:eastAsia="仿宋_GB2312"/>
          <w:color w:val="auto"/>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楷体_GB2312" w:cs="楷体_GB2312"/>
          <w:color w:val="auto"/>
          <w:spacing w:val="0"/>
          <w:sz w:val="32"/>
          <w:szCs w:val="32"/>
          <w:lang w:eastAsia="zh-CN"/>
        </w:rPr>
      </w:pPr>
      <w:r>
        <w:rPr>
          <w:rFonts w:hint="eastAsia" w:ascii="仿宋_GB2312" w:hAnsi="仿宋_GB2312" w:eastAsia="楷体_GB2312" w:cs="楷体_GB2312"/>
          <w:color w:val="auto"/>
          <w:spacing w:val="0"/>
          <w:sz w:val="32"/>
          <w:szCs w:val="32"/>
          <w:lang w:eastAsia="zh-CN"/>
        </w:rPr>
        <w:t>（三）培育结果</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Times New Roman"/>
          <w:color w:val="auto"/>
          <w:spacing w:val="0"/>
          <w:sz w:val="32"/>
          <w:szCs w:val="32"/>
          <w:lang w:val="en-US" w:eastAsia="zh-CN"/>
        </w:rPr>
      </w:pPr>
      <w:r>
        <w:rPr>
          <w:rFonts w:hint="default" w:ascii="仿宋_GB2312" w:hAnsi="仿宋_GB2312" w:eastAsia="仿宋_GB2312" w:cs="Times New Roman"/>
          <w:color w:val="auto"/>
          <w:spacing w:val="0"/>
          <w:sz w:val="32"/>
          <w:szCs w:val="32"/>
        </w:rPr>
        <w:t>各市人力资源社会保障</w:t>
      </w:r>
      <w:r>
        <w:rPr>
          <w:rFonts w:hint="eastAsia" w:ascii="仿宋_GB2312" w:hAnsi="仿宋_GB2312" w:eastAsia="仿宋_GB2312" w:cs="Times New Roman"/>
          <w:color w:val="auto"/>
          <w:spacing w:val="0"/>
          <w:sz w:val="32"/>
          <w:szCs w:val="32"/>
          <w:lang w:eastAsia="zh-CN"/>
        </w:rPr>
        <w:t>局</w:t>
      </w:r>
      <w:r>
        <w:rPr>
          <w:rFonts w:hint="default" w:ascii="仿宋_GB2312" w:hAnsi="仿宋_GB2312" w:eastAsia="仿宋_GB2312" w:cs="Times New Roman"/>
          <w:color w:val="auto"/>
          <w:spacing w:val="0"/>
          <w:sz w:val="32"/>
          <w:szCs w:val="32"/>
        </w:rPr>
        <w:t>会同相关行业工程建设主管部门，在县（市、区）</w:t>
      </w:r>
      <w:r>
        <w:rPr>
          <w:rFonts w:hint="eastAsia" w:ascii="仿宋_GB2312" w:hAnsi="仿宋_GB2312" w:eastAsia="仿宋_GB2312" w:cs="Times New Roman"/>
          <w:color w:val="auto"/>
          <w:spacing w:val="0"/>
          <w:sz w:val="32"/>
          <w:szCs w:val="32"/>
          <w:lang w:eastAsia="zh-CN"/>
        </w:rPr>
        <w:t>对培育对象进行自评推荐</w:t>
      </w:r>
      <w:r>
        <w:rPr>
          <w:rFonts w:hint="default" w:ascii="仿宋_GB2312" w:hAnsi="仿宋_GB2312" w:eastAsia="仿宋_GB2312" w:cs="Times New Roman"/>
          <w:color w:val="auto"/>
          <w:spacing w:val="0"/>
          <w:sz w:val="32"/>
          <w:szCs w:val="32"/>
        </w:rPr>
        <w:t>基础上，采取实地调研、审查申报材料、比对</w:t>
      </w:r>
      <w:r>
        <w:rPr>
          <w:rFonts w:hint="eastAsia" w:ascii="仿宋_GB2312" w:hAnsi="仿宋_GB2312" w:eastAsia="仿宋_GB2312" w:cs="Times New Roman"/>
          <w:color w:val="auto"/>
          <w:spacing w:val="0"/>
          <w:sz w:val="32"/>
          <w:szCs w:val="32"/>
          <w:lang w:eastAsia="zh-CN"/>
        </w:rPr>
        <w:t>省农民工工资支付监管平台</w:t>
      </w:r>
      <w:r>
        <w:rPr>
          <w:rFonts w:hint="default" w:ascii="仿宋_GB2312" w:hAnsi="仿宋_GB2312" w:eastAsia="仿宋_GB2312" w:cs="Times New Roman"/>
          <w:color w:val="auto"/>
          <w:spacing w:val="0"/>
          <w:sz w:val="32"/>
          <w:szCs w:val="32"/>
        </w:rPr>
        <w:t>数据等方式，依据《</w:t>
      </w:r>
      <w:r>
        <w:rPr>
          <w:rFonts w:hint="eastAsia" w:ascii="仿宋_GB2312" w:hAnsi="仿宋_GB2312" w:eastAsia="仿宋_GB2312" w:cs="Times New Roman"/>
          <w:color w:val="auto"/>
          <w:spacing w:val="0"/>
          <w:sz w:val="32"/>
          <w:szCs w:val="32"/>
          <w:lang w:eastAsia="zh-CN"/>
        </w:rPr>
        <w:t>“安薪项目”</w:t>
      </w:r>
      <w:r>
        <w:rPr>
          <w:rFonts w:hint="default" w:ascii="仿宋_GB2312" w:hAnsi="仿宋_GB2312" w:eastAsia="仿宋_GB2312" w:cs="Times New Roman"/>
          <w:color w:val="auto"/>
          <w:spacing w:val="0"/>
          <w:sz w:val="32"/>
          <w:szCs w:val="32"/>
        </w:rPr>
        <w:t>量化</w:t>
      </w:r>
      <w:r>
        <w:rPr>
          <w:rFonts w:hint="eastAsia" w:ascii="仿宋_GB2312" w:hAnsi="仿宋_GB2312" w:eastAsia="仿宋_GB2312" w:cs="Times New Roman"/>
          <w:color w:val="auto"/>
          <w:spacing w:val="0"/>
          <w:sz w:val="32"/>
          <w:szCs w:val="32"/>
          <w:lang w:eastAsia="zh-CN"/>
        </w:rPr>
        <w:t>赋分</w:t>
      </w:r>
      <w:r>
        <w:rPr>
          <w:rFonts w:hint="default" w:ascii="仿宋_GB2312" w:hAnsi="仿宋_GB2312" w:eastAsia="仿宋_GB2312" w:cs="Times New Roman"/>
          <w:color w:val="auto"/>
          <w:spacing w:val="0"/>
          <w:sz w:val="32"/>
          <w:szCs w:val="32"/>
        </w:rPr>
        <w:t>表》（附件</w:t>
      </w:r>
      <w:r>
        <w:rPr>
          <w:rFonts w:hint="eastAsia" w:ascii="仿宋_GB2312" w:hAnsi="仿宋_GB2312" w:eastAsia="仿宋_GB2312" w:cs="Times New Roman"/>
          <w:color w:val="auto"/>
          <w:spacing w:val="0"/>
          <w:sz w:val="32"/>
          <w:szCs w:val="32"/>
          <w:lang w:val="en-US" w:eastAsia="zh-CN"/>
        </w:rPr>
        <w:t>1</w:t>
      </w:r>
      <w:r>
        <w:rPr>
          <w:rFonts w:hint="default" w:ascii="仿宋_GB2312" w:hAnsi="仿宋_GB2312" w:eastAsia="仿宋_GB2312" w:cs="Times New Roman"/>
          <w:color w:val="auto"/>
          <w:spacing w:val="0"/>
          <w:sz w:val="32"/>
          <w:szCs w:val="32"/>
        </w:rPr>
        <w:t>）对</w:t>
      </w:r>
      <w:r>
        <w:rPr>
          <w:rFonts w:hint="eastAsia" w:ascii="仿宋_GB2312" w:hAnsi="仿宋_GB2312" w:eastAsia="仿宋_GB2312" w:cs="Times New Roman"/>
          <w:color w:val="auto"/>
          <w:spacing w:val="0"/>
          <w:sz w:val="32"/>
          <w:szCs w:val="32"/>
          <w:lang w:eastAsia="zh-CN"/>
        </w:rPr>
        <w:t>培育</w:t>
      </w:r>
      <w:r>
        <w:rPr>
          <w:rFonts w:hint="default" w:ascii="仿宋_GB2312" w:hAnsi="仿宋_GB2312" w:eastAsia="仿宋_GB2312" w:cs="Times New Roman"/>
          <w:color w:val="auto"/>
          <w:spacing w:val="0"/>
          <w:sz w:val="32"/>
          <w:szCs w:val="32"/>
        </w:rPr>
        <w:t>对象</w:t>
      </w:r>
      <w:r>
        <w:rPr>
          <w:rFonts w:hint="eastAsia" w:ascii="仿宋_GB2312" w:hAnsi="仿宋_GB2312" w:eastAsia="仿宋_GB2312" w:cs="Times New Roman"/>
          <w:color w:val="auto"/>
          <w:spacing w:val="0"/>
          <w:sz w:val="32"/>
          <w:szCs w:val="32"/>
          <w:lang w:eastAsia="zh-CN"/>
        </w:rPr>
        <w:t>达标情况进行核查。对评分高于</w:t>
      </w:r>
      <w:r>
        <w:rPr>
          <w:rFonts w:hint="eastAsia" w:ascii="仿宋_GB2312" w:hAnsi="仿宋_GB2312" w:eastAsia="仿宋_GB2312" w:cs="Times New Roman"/>
          <w:color w:val="auto"/>
          <w:spacing w:val="0"/>
          <w:sz w:val="32"/>
          <w:szCs w:val="32"/>
          <w:lang w:val="en-US" w:eastAsia="zh-CN"/>
        </w:rPr>
        <w:t>80分的</w:t>
      </w:r>
      <w:r>
        <w:rPr>
          <w:rFonts w:hint="default" w:ascii="仿宋_GB2312" w:hAnsi="仿宋_GB2312" w:eastAsia="仿宋_GB2312" w:cs="Times New Roman"/>
          <w:color w:val="auto"/>
          <w:spacing w:val="0"/>
          <w:sz w:val="32"/>
          <w:szCs w:val="32"/>
        </w:rPr>
        <w:t>，</w:t>
      </w:r>
      <w:r>
        <w:rPr>
          <w:rFonts w:hint="eastAsia" w:ascii="仿宋_GB2312" w:hAnsi="仿宋_GB2312" w:eastAsia="仿宋_GB2312" w:cs="Times New Roman"/>
          <w:color w:val="auto"/>
          <w:spacing w:val="0"/>
          <w:sz w:val="32"/>
          <w:szCs w:val="32"/>
          <w:lang w:eastAsia="zh-CN"/>
        </w:rPr>
        <w:t>确定为“安薪项目”；对评分排名前</w:t>
      </w:r>
      <w:r>
        <w:rPr>
          <w:rFonts w:hint="eastAsia" w:ascii="仿宋_GB2312" w:hAnsi="仿宋_GB2312" w:eastAsia="仿宋_GB2312" w:cs="Times New Roman"/>
          <w:color w:val="auto"/>
          <w:spacing w:val="0"/>
          <w:sz w:val="32"/>
          <w:szCs w:val="32"/>
          <w:lang w:val="en-US" w:eastAsia="zh-CN"/>
        </w:rPr>
        <w:t>5%的项目，可定为“优质安薪项目”，并</w:t>
      </w:r>
      <w:r>
        <w:rPr>
          <w:rFonts w:hint="default" w:ascii="仿宋_GB2312" w:hAnsi="仿宋_GB2312" w:eastAsia="仿宋_GB2312" w:cs="Times New Roman"/>
          <w:color w:val="auto"/>
          <w:spacing w:val="6"/>
          <w:sz w:val="32"/>
          <w:szCs w:val="32"/>
        </w:rPr>
        <w:t>享受以下</w:t>
      </w:r>
      <w:r>
        <w:rPr>
          <w:rFonts w:hint="eastAsia" w:ascii="仿宋_GB2312" w:hAnsi="仿宋_GB2312" w:eastAsia="仿宋_GB2312" w:cs="Times New Roman"/>
          <w:color w:val="auto"/>
          <w:spacing w:val="6"/>
          <w:sz w:val="32"/>
          <w:szCs w:val="32"/>
          <w:lang w:eastAsia="zh-CN"/>
        </w:rPr>
        <w:t>优惠政策</w:t>
      </w:r>
      <w:r>
        <w:rPr>
          <w:rFonts w:hint="default" w:ascii="仿宋_GB2312" w:hAnsi="仿宋_GB2312" w:eastAsia="仿宋_GB2312" w:cs="Times New Roman"/>
          <w:color w:val="auto"/>
          <w:spacing w:val="6"/>
          <w:sz w:val="32"/>
          <w:szCs w:val="32"/>
        </w:rPr>
        <w:t>：</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仿宋_GB2312" w:cs="Times New Roman"/>
          <w:color w:val="auto"/>
          <w:spacing w:val="0"/>
          <w:sz w:val="32"/>
          <w:szCs w:val="32"/>
        </w:rPr>
      </w:pPr>
      <w:r>
        <w:rPr>
          <w:rFonts w:hint="eastAsia" w:ascii="仿宋_GB2312" w:hAnsi="仿宋_GB2312" w:eastAsia="仿宋_GB2312" w:cs="Times New Roman"/>
          <w:color w:val="auto"/>
          <w:spacing w:val="0"/>
          <w:sz w:val="32"/>
          <w:szCs w:val="32"/>
          <w:lang w:val="en-US" w:eastAsia="zh-CN"/>
        </w:rPr>
        <w:t>1.</w:t>
      </w:r>
      <w:r>
        <w:rPr>
          <w:rFonts w:hint="default" w:ascii="仿宋_GB2312" w:hAnsi="仿宋_GB2312" w:eastAsia="仿宋_GB2312" w:cs="Times New Roman"/>
          <w:color w:val="auto"/>
          <w:spacing w:val="0"/>
          <w:sz w:val="32"/>
          <w:szCs w:val="32"/>
        </w:rPr>
        <w:t>按规定运用至企业劳动保障守法诚信等级评价和行业主管部门信用管理，</w:t>
      </w:r>
      <w:r>
        <w:rPr>
          <w:rFonts w:hint="eastAsia" w:ascii="仿宋_GB2312" w:hAnsi="仿宋_GB2312" w:eastAsia="仿宋_GB2312" w:cs="Times New Roman"/>
          <w:color w:val="auto"/>
          <w:spacing w:val="0"/>
          <w:sz w:val="32"/>
          <w:szCs w:val="32"/>
          <w:lang w:eastAsia="zh-CN"/>
        </w:rPr>
        <w:t>按照有关规定，参考</w:t>
      </w:r>
      <w:r>
        <w:rPr>
          <w:rFonts w:hint="default" w:ascii="仿宋_GB2312" w:hAnsi="仿宋_GB2312" w:eastAsia="仿宋_GB2312" w:cs="Times New Roman"/>
          <w:color w:val="auto"/>
          <w:spacing w:val="0"/>
          <w:sz w:val="32"/>
          <w:szCs w:val="32"/>
        </w:rPr>
        <w:t>给予建设单位、总</w:t>
      </w:r>
      <w:r>
        <w:rPr>
          <w:rFonts w:hint="eastAsia" w:ascii="仿宋_GB2312" w:hAnsi="仿宋_GB2312" w:eastAsia="仿宋_GB2312" w:cs="Times New Roman"/>
          <w:color w:val="auto"/>
          <w:spacing w:val="0"/>
          <w:sz w:val="32"/>
          <w:szCs w:val="32"/>
          <w:lang w:eastAsia="zh-CN"/>
        </w:rPr>
        <w:t>包</w:t>
      </w:r>
      <w:r>
        <w:rPr>
          <w:rFonts w:hint="default" w:ascii="仿宋_GB2312" w:hAnsi="仿宋_GB2312" w:eastAsia="仿宋_GB2312" w:cs="Times New Roman"/>
          <w:color w:val="auto"/>
          <w:spacing w:val="0"/>
          <w:sz w:val="32"/>
          <w:szCs w:val="32"/>
        </w:rPr>
        <w:t>单位一次性奖励</w:t>
      </w:r>
      <w:r>
        <w:rPr>
          <w:rFonts w:hint="eastAsia" w:ascii="仿宋_GB2312" w:hAnsi="仿宋_GB2312" w:eastAsia="仿宋_GB2312" w:cs="Times New Roman"/>
          <w:color w:val="auto"/>
          <w:spacing w:val="0"/>
          <w:sz w:val="32"/>
          <w:szCs w:val="32"/>
          <w:lang w:eastAsia="zh-CN"/>
        </w:rPr>
        <w:t>信用评价</w:t>
      </w:r>
      <w:r>
        <w:rPr>
          <w:rFonts w:hint="default" w:ascii="仿宋_GB2312" w:hAnsi="仿宋_GB2312" w:eastAsia="仿宋_GB2312" w:cs="Times New Roman"/>
          <w:color w:val="auto"/>
          <w:spacing w:val="0"/>
          <w:sz w:val="32"/>
          <w:szCs w:val="32"/>
        </w:rPr>
        <w:t>分值</w:t>
      </w:r>
      <w:r>
        <w:rPr>
          <w:rFonts w:hint="eastAsia" w:ascii="仿宋_GB2312" w:hAnsi="仿宋_GB2312" w:eastAsia="仿宋_GB2312" w:cs="Times New Roman"/>
          <w:color w:val="auto"/>
          <w:spacing w:val="0"/>
          <w:sz w:val="32"/>
          <w:szCs w:val="32"/>
          <w:lang w:eastAsia="zh-CN"/>
        </w:rPr>
        <w:t>不低于</w:t>
      </w:r>
      <w:r>
        <w:rPr>
          <w:rFonts w:hint="default" w:ascii="仿宋_GB2312" w:hAnsi="仿宋_GB2312" w:eastAsia="仿宋_GB2312" w:cs="Times New Roman"/>
          <w:color w:val="auto"/>
          <w:spacing w:val="0"/>
          <w:sz w:val="32"/>
          <w:szCs w:val="32"/>
          <w:lang w:val="en-US" w:eastAsia="zh-CN"/>
        </w:rPr>
        <w:t>2</w:t>
      </w:r>
      <w:r>
        <w:rPr>
          <w:rFonts w:hint="eastAsia" w:ascii="仿宋_GB2312" w:hAnsi="仿宋_GB2312" w:eastAsia="仿宋_GB2312" w:cs="Times New Roman"/>
          <w:color w:val="auto"/>
          <w:spacing w:val="0"/>
          <w:sz w:val="32"/>
          <w:szCs w:val="32"/>
          <w:lang w:val="en-US" w:eastAsia="zh-CN"/>
        </w:rPr>
        <w:t>分。建设单位是房地产开发企业的，参考《山东省房地产开发企业信用信息管理办法》按照典型经验予以加分。</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仿宋_GB2312" w:cs="Times New Roman"/>
          <w:color w:val="auto"/>
          <w:spacing w:val="0"/>
          <w:sz w:val="32"/>
          <w:szCs w:val="32"/>
        </w:rPr>
      </w:pPr>
      <w:r>
        <w:rPr>
          <w:rFonts w:hint="eastAsia" w:ascii="仿宋_GB2312" w:hAnsi="仿宋_GB2312" w:eastAsia="仿宋_GB2312" w:cs="Times New Roman"/>
          <w:color w:val="auto"/>
          <w:spacing w:val="0"/>
          <w:sz w:val="32"/>
          <w:szCs w:val="32"/>
          <w:lang w:val="en-US" w:eastAsia="zh-CN"/>
        </w:rPr>
        <w:t>2.</w:t>
      </w:r>
      <w:r>
        <w:rPr>
          <w:rFonts w:hint="eastAsia" w:ascii="仿宋_GB2312" w:hAnsi="仿宋_GB2312" w:eastAsia="仿宋_GB2312" w:cs="Times New Roman"/>
          <w:color w:val="auto"/>
          <w:spacing w:val="0"/>
          <w:sz w:val="32"/>
          <w:szCs w:val="32"/>
          <w:lang w:eastAsia="zh-CN"/>
        </w:rPr>
        <w:t>落实就业、社会保险、人才、劳动关系等人力资源社会保障</w:t>
      </w:r>
      <w:r>
        <w:rPr>
          <w:rFonts w:hint="default" w:ascii="仿宋_GB2312" w:hAnsi="仿宋_GB2312" w:eastAsia="仿宋_GB2312" w:cs="Times New Roman"/>
          <w:color w:val="auto"/>
          <w:spacing w:val="0"/>
          <w:sz w:val="32"/>
          <w:szCs w:val="32"/>
        </w:rPr>
        <w:t>优惠扶持政策</w:t>
      </w:r>
      <w:r>
        <w:rPr>
          <w:rFonts w:hint="eastAsia" w:ascii="仿宋_GB2312" w:hAnsi="仿宋_GB2312" w:eastAsia="仿宋_GB2312" w:cs="Times New Roman"/>
          <w:color w:val="auto"/>
          <w:spacing w:val="0"/>
          <w:sz w:val="32"/>
          <w:szCs w:val="32"/>
          <w:lang w:eastAsia="zh-CN"/>
        </w:rPr>
        <w:t>时，优先享受“绿色通道”服务</w:t>
      </w:r>
      <w:r>
        <w:rPr>
          <w:rFonts w:hint="default" w:ascii="仿宋_GB2312" w:hAnsi="仿宋_GB2312"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Times New Roman"/>
          <w:color w:val="auto"/>
          <w:spacing w:val="0"/>
          <w:sz w:val="32"/>
          <w:szCs w:val="32"/>
          <w:lang w:eastAsia="zh-CN"/>
        </w:rPr>
      </w:pPr>
      <w:r>
        <w:rPr>
          <w:rFonts w:hint="eastAsia" w:ascii="仿宋_GB2312" w:hAnsi="仿宋_GB2312" w:eastAsia="仿宋_GB2312" w:cs="Times New Roman"/>
          <w:color w:val="auto"/>
          <w:spacing w:val="0"/>
          <w:sz w:val="32"/>
          <w:szCs w:val="32"/>
          <w:lang w:val="en-US" w:eastAsia="zh-CN"/>
        </w:rPr>
        <w:t>3.</w:t>
      </w:r>
      <w:r>
        <w:rPr>
          <w:rFonts w:hint="eastAsia" w:ascii="仿宋_GB2312" w:hAnsi="仿宋_GB2312" w:eastAsia="仿宋_GB2312" w:cs="Times New Roman"/>
          <w:color w:val="auto"/>
          <w:spacing w:val="0"/>
          <w:sz w:val="32"/>
          <w:szCs w:val="32"/>
          <w:lang w:eastAsia="zh-CN"/>
        </w:rPr>
        <w:t>优先帮助建设单位、总包单位提供招聘服务和人才支撑。</w:t>
      </w:r>
    </w:p>
    <w:p>
      <w:pPr>
        <w:keepNext w:val="0"/>
        <w:keepLines w:val="0"/>
        <w:pageBreakBefore w:val="0"/>
        <w:widowControl w:val="0"/>
        <w:numPr>
          <w:ilvl w:val="0"/>
          <w:numId w:val="0"/>
        </w:numPr>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仿宋_GB2312" w:cs="Times New Roman"/>
          <w:color w:val="auto"/>
          <w:spacing w:val="0"/>
          <w:sz w:val="32"/>
          <w:szCs w:val="32"/>
        </w:rPr>
      </w:pPr>
      <w:r>
        <w:rPr>
          <w:rFonts w:hint="eastAsia" w:ascii="仿宋_GB2312" w:hAnsi="仿宋_GB2312" w:eastAsia="仿宋_GB2312" w:cs="Times New Roman"/>
          <w:color w:val="auto"/>
          <w:spacing w:val="0"/>
          <w:sz w:val="32"/>
          <w:szCs w:val="32"/>
          <w:lang w:val="en-US" w:eastAsia="zh-CN"/>
        </w:rPr>
        <w:t>4.</w:t>
      </w:r>
      <w:r>
        <w:rPr>
          <w:rFonts w:hint="default" w:ascii="仿宋_GB2312" w:hAnsi="仿宋_GB2312" w:eastAsia="仿宋_GB2312" w:cs="Times New Roman"/>
          <w:color w:val="auto"/>
          <w:spacing w:val="0"/>
          <w:sz w:val="32"/>
          <w:szCs w:val="32"/>
        </w:rPr>
        <w:t>优先推荐项目负责人、项目经理、劳资专管员参加</w:t>
      </w:r>
      <w:r>
        <w:rPr>
          <w:rFonts w:hint="eastAsia" w:ascii="仿宋_GB2312" w:hAnsi="仿宋_GB2312" w:eastAsia="仿宋_GB2312" w:cs="Times New Roman"/>
          <w:color w:val="auto"/>
          <w:spacing w:val="0"/>
          <w:sz w:val="32"/>
          <w:szCs w:val="32"/>
          <w:lang w:eastAsia="zh-CN"/>
        </w:rPr>
        <w:t>相关</w:t>
      </w:r>
      <w:r>
        <w:rPr>
          <w:rFonts w:hint="default" w:ascii="仿宋_GB2312" w:hAnsi="仿宋_GB2312" w:eastAsia="仿宋_GB2312" w:cs="Times New Roman"/>
          <w:color w:val="auto"/>
          <w:spacing w:val="0"/>
          <w:sz w:val="32"/>
          <w:szCs w:val="32"/>
        </w:rPr>
        <w:t>表彰活动。</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仿宋_GB2312" w:cs="Times New Roman"/>
          <w:color w:val="auto"/>
          <w:spacing w:val="0"/>
          <w:sz w:val="32"/>
          <w:szCs w:val="32"/>
        </w:rPr>
      </w:pPr>
      <w:r>
        <w:rPr>
          <w:rFonts w:hint="eastAsia" w:ascii="仿宋_GB2312" w:hAnsi="仿宋_GB2312" w:eastAsia="仿宋_GB2312" w:cs="Times New Roman"/>
          <w:color w:val="auto"/>
          <w:spacing w:val="0"/>
          <w:sz w:val="32"/>
          <w:szCs w:val="32"/>
          <w:lang w:val="en-US" w:eastAsia="zh-CN"/>
        </w:rPr>
        <w:t>5.</w:t>
      </w:r>
      <w:r>
        <w:rPr>
          <w:rFonts w:hint="default" w:ascii="仿宋_GB2312" w:hAnsi="仿宋_GB2312" w:eastAsia="仿宋_GB2312" w:cs="Times New Roman"/>
          <w:color w:val="auto"/>
          <w:spacing w:val="0"/>
          <w:sz w:val="32"/>
          <w:szCs w:val="32"/>
        </w:rPr>
        <w:t>向建设单位、总包单位</w:t>
      </w:r>
      <w:r>
        <w:rPr>
          <w:rFonts w:hint="eastAsia" w:ascii="仿宋_GB2312" w:hAnsi="仿宋_GB2312" w:eastAsia="仿宋_GB2312" w:cs="Times New Roman"/>
          <w:color w:val="auto"/>
          <w:spacing w:val="0"/>
          <w:sz w:val="32"/>
          <w:szCs w:val="32"/>
          <w:lang w:eastAsia="zh-CN"/>
        </w:rPr>
        <w:t>提出</w:t>
      </w:r>
      <w:r>
        <w:rPr>
          <w:rFonts w:hint="default" w:ascii="仿宋_GB2312" w:hAnsi="仿宋_GB2312" w:eastAsia="仿宋_GB2312" w:cs="Times New Roman"/>
          <w:color w:val="auto"/>
          <w:spacing w:val="0"/>
          <w:sz w:val="32"/>
          <w:szCs w:val="32"/>
        </w:rPr>
        <w:t>奖励、</w:t>
      </w:r>
      <w:r>
        <w:rPr>
          <w:rFonts w:hint="eastAsia" w:ascii="仿宋_GB2312" w:hAnsi="仿宋_GB2312" w:eastAsia="仿宋_GB2312" w:cs="Times New Roman"/>
          <w:color w:val="auto"/>
          <w:spacing w:val="0"/>
          <w:sz w:val="32"/>
          <w:szCs w:val="32"/>
          <w:lang w:eastAsia="zh-CN"/>
        </w:rPr>
        <w:t>重用</w:t>
      </w:r>
      <w:r>
        <w:rPr>
          <w:rFonts w:hint="default" w:ascii="仿宋_GB2312" w:hAnsi="仿宋_GB2312" w:eastAsia="仿宋_GB2312" w:cs="Times New Roman"/>
          <w:color w:val="auto"/>
          <w:spacing w:val="0"/>
          <w:sz w:val="32"/>
          <w:szCs w:val="32"/>
        </w:rPr>
        <w:t>项目负责人、项目经理和劳资专管员的</w:t>
      </w:r>
      <w:r>
        <w:rPr>
          <w:rFonts w:hint="eastAsia" w:ascii="仿宋_GB2312" w:hAnsi="仿宋_GB2312" w:eastAsia="仿宋_GB2312" w:cs="Times New Roman"/>
          <w:color w:val="auto"/>
          <w:spacing w:val="0"/>
          <w:sz w:val="32"/>
          <w:szCs w:val="32"/>
          <w:lang w:eastAsia="zh-CN"/>
        </w:rPr>
        <w:t>推荐建议</w:t>
      </w:r>
      <w:r>
        <w:rPr>
          <w:rFonts w:hint="default" w:ascii="仿宋_GB2312" w:hAnsi="仿宋_GB2312" w:eastAsia="仿宋_GB2312" w:cs="Times New Roman"/>
          <w:color w:val="auto"/>
          <w:spacing w:val="0"/>
          <w:sz w:val="32"/>
          <w:szCs w:val="32"/>
        </w:rPr>
        <w:t>。</w:t>
      </w:r>
    </w:p>
    <w:p>
      <w:pPr>
        <w:pStyle w:val="2"/>
        <w:keepNext w:val="0"/>
        <w:keepLines w:val="0"/>
        <w:pageBreakBefore w:val="0"/>
        <w:widowControl w:val="0"/>
        <w:kinsoku/>
        <w:wordWrap/>
        <w:overflowPunct/>
        <w:topLinePunct w:val="0"/>
        <w:autoSpaceDE/>
        <w:autoSpaceDN/>
        <w:bidi w:val="0"/>
        <w:adjustRightInd/>
        <w:spacing w:after="0" w:afterLines="0" w:line="586" w:lineRule="exact"/>
        <w:ind w:left="0" w:leftChars="0" w:firstLine="632" w:firstLineChars="200"/>
        <w:textAlignment w:val="auto"/>
        <w:rPr>
          <w:rFonts w:hint="default" w:ascii="仿宋_GB2312" w:hAnsi="仿宋_GB2312" w:eastAsia="仿宋_GB2312"/>
          <w:color w:val="auto"/>
          <w:lang w:val="en-US" w:eastAsia="zh-CN"/>
        </w:rPr>
      </w:pPr>
      <w:r>
        <w:rPr>
          <w:rFonts w:hint="eastAsia" w:ascii="仿宋_GB2312" w:hAnsi="仿宋_GB2312" w:eastAsia="仿宋_GB2312" w:cs="Times New Roman"/>
          <w:color w:val="auto"/>
          <w:spacing w:val="0"/>
          <w:sz w:val="32"/>
          <w:szCs w:val="32"/>
          <w:lang w:eastAsia="zh-CN"/>
        </w:rPr>
        <w:t>对</w:t>
      </w:r>
      <w:r>
        <w:rPr>
          <w:rFonts w:hint="default" w:ascii="仿宋_GB2312" w:hAnsi="仿宋_GB2312" w:eastAsia="仿宋_GB2312" w:cs="Times New Roman"/>
          <w:color w:val="auto"/>
          <w:spacing w:val="0"/>
          <w:sz w:val="32"/>
          <w:szCs w:val="32"/>
        </w:rPr>
        <w:t>在日常监管中发现</w:t>
      </w:r>
      <w:r>
        <w:rPr>
          <w:rFonts w:hint="eastAsia" w:ascii="仿宋_GB2312" w:hAnsi="仿宋_GB2312" w:eastAsia="仿宋_GB2312" w:cs="Times New Roman"/>
          <w:color w:val="auto"/>
          <w:spacing w:val="0"/>
          <w:sz w:val="32"/>
          <w:szCs w:val="32"/>
          <w:lang w:eastAsia="zh-CN"/>
        </w:rPr>
        <w:t>“安薪项目”</w:t>
      </w:r>
      <w:r>
        <w:rPr>
          <w:rFonts w:hint="default" w:ascii="仿宋_GB2312" w:hAnsi="仿宋_GB2312" w:eastAsia="仿宋_GB2312" w:cs="Times New Roman"/>
          <w:color w:val="auto"/>
          <w:spacing w:val="0"/>
          <w:sz w:val="32"/>
          <w:szCs w:val="32"/>
        </w:rPr>
        <w:t>不再符合</w:t>
      </w:r>
      <w:r>
        <w:rPr>
          <w:rFonts w:hint="eastAsia" w:ascii="仿宋_GB2312" w:hAnsi="仿宋_GB2312" w:eastAsia="仿宋_GB2312" w:cs="Times New Roman"/>
          <w:color w:val="auto"/>
          <w:spacing w:val="0"/>
          <w:sz w:val="32"/>
          <w:szCs w:val="32"/>
          <w:lang w:eastAsia="zh-CN"/>
        </w:rPr>
        <w:t>达标</w:t>
      </w:r>
      <w:r>
        <w:rPr>
          <w:rFonts w:hint="default" w:ascii="仿宋_GB2312" w:hAnsi="仿宋_GB2312" w:eastAsia="仿宋_GB2312" w:cs="Times New Roman"/>
          <w:color w:val="auto"/>
          <w:spacing w:val="0"/>
          <w:sz w:val="32"/>
          <w:szCs w:val="32"/>
        </w:rPr>
        <w:t>条件，经</w:t>
      </w:r>
      <w:r>
        <w:rPr>
          <w:rFonts w:hint="eastAsia" w:ascii="仿宋_GB2312" w:hAnsi="仿宋_GB2312" w:eastAsia="仿宋_GB2312" w:cs="Times New Roman"/>
          <w:color w:val="auto"/>
          <w:spacing w:val="0"/>
          <w:sz w:val="32"/>
          <w:szCs w:val="32"/>
          <w:lang w:eastAsia="zh-CN"/>
        </w:rPr>
        <w:t>人力资源社会保障和相关行业工程建设主管部门</w:t>
      </w:r>
      <w:r>
        <w:rPr>
          <w:rFonts w:hint="default" w:ascii="仿宋_GB2312" w:hAnsi="仿宋_GB2312" w:eastAsia="仿宋_GB2312" w:cs="Times New Roman"/>
          <w:color w:val="auto"/>
          <w:spacing w:val="0"/>
          <w:sz w:val="32"/>
          <w:szCs w:val="32"/>
        </w:rPr>
        <w:t>审定后应立即予以退出</w:t>
      </w:r>
      <w:r>
        <w:rPr>
          <w:rFonts w:hint="eastAsia" w:ascii="仿宋_GB2312" w:hAnsi="仿宋_GB2312" w:eastAsia="仿宋_GB2312" w:cs="Times New Roman"/>
          <w:color w:val="auto"/>
          <w:spacing w:val="0"/>
          <w:sz w:val="32"/>
          <w:szCs w:val="32"/>
          <w:lang w:eastAsia="zh-CN"/>
        </w:rPr>
        <w:t>，</w:t>
      </w:r>
      <w:r>
        <w:rPr>
          <w:rFonts w:hint="default" w:ascii="仿宋_GB2312" w:hAnsi="仿宋_GB2312" w:eastAsia="仿宋_GB2312" w:cs="Times New Roman"/>
          <w:color w:val="auto"/>
          <w:spacing w:val="0"/>
          <w:sz w:val="32"/>
          <w:szCs w:val="32"/>
          <w:lang w:eastAsia="zh-CN"/>
        </w:rPr>
        <w:t>“优质安薪项目”</w:t>
      </w:r>
      <w:r>
        <w:rPr>
          <w:rFonts w:hint="eastAsia" w:ascii="仿宋_GB2312" w:hAnsi="仿宋_GB2312" w:eastAsia="仿宋_GB2312" w:cs="Times New Roman"/>
          <w:color w:val="auto"/>
          <w:spacing w:val="0"/>
          <w:sz w:val="32"/>
          <w:szCs w:val="32"/>
          <w:lang w:eastAsia="zh-CN"/>
        </w:rPr>
        <w:t>取消有关优惠政策。</w:t>
      </w:r>
      <w:r>
        <w:rPr>
          <w:rFonts w:hint="eastAsia" w:ascii="仿宋_GB2312" w:hAnsi="仿宋_GB2312" w:eastAsia="仿宋_GB2312"/>
          <w:color w:val="auto"/>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val="0"/>
        <w:spacing w:after="0" w:afterLines="0" w:line="586" w:lineRule="exact"/>
        <w:ind w:left="0" w:leftChars="0" w:firstLine="632" w:firstLineChars="200"/>
        <w:textAlignment w:val="auto"/>
        <w:rPr>
          <w:rFonts w:hint="eastAsia" w:ascii="仿宋_GB2312" w:hAnsi="仿宋_GB2312" w:eastAsia="黑体" w:cs="黑体"/>
          <w:color w:val="auto"/>
          <w:spacing w:val="0"/>
          <w:sz w:val="32"/>
          <w:szCs w:val="32"/>
          <w:lang w:eastAsia="zh-CN"/>
        </w:rPr>
      </w:pPr>
      <w:r>
        <w:rPr>
          <w:rFonts w:hint="eastAsia" w:ascii="仿宋_GB2312" w:hAnsi="仿宋_GB2312" w:eastAsia="黑体" w:cs="黑体"/>
          <w:color w:val="auto"/>
          <w:spacing w:val="0"/>
          <w:sz w:val="32"/>
          <w:szCs w:val="32"/>
          <w:lang w:eastAsia="zh-CN"/>
        </w:rPr>
        <w:t>三、广泛宣传发动，增强工作实效</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楷体_GB2312" w:cs="Times New Roman"/>
          <w:color w:val="auto"/>
          <w:spacing w:val="0"/>
          <w:sz w:val="32"/>
          <w:szCs w:val="32"/>
        </w:rPr>
      </w:pPr>
      <w:r>
        <w:rPr>
          <w:rFonts w:hint="default" w:ascii="仿宋_GB2312" w:hAnsi="仿宋_GB2312" w:eastAsia="仿宋_GB2312" w:cs="Times New Roman"/>
          <w:color w:val="auto"/>
          <w:spacing w:val="0"/>
          <w:sz w:val="32"/>
          <w:szCs w:val="32"/>
        </w:rPr>
        <w:t>要深入建设施工企业、项目工地开展宣传动员，充分利用各类媒体平台</w:t>
      </w:r>
      <w:r>
        <w:rPr>
          <w:rFonts w:hint="eastAsia" w:ascii="仿宋_GB2312" w:hAnsi="仿宋_GB2312" w:eastAsia="仿宋_GB2312" w:cs="Times New Roman"/>
          <w:color w:val="auto"/>
          <w:spacing w:val="0"/>
          <w:sz w:val="32"/>
          <w:szCs w:val="32"/>
          <w:lang w:eastAsia="zh-CN"/>
        </w:rPr>
        <w:t>进行</w:t>
      </w:r>
      <w:r>
        <w:rPr>
          <w:rFonts w:hint="default" w:ascii="仿宋_GB2312" w:hAnsi="仿宋_GB2312" w:eastAsia="仿宋_GB2312" w:cs="Times New Roman"/>
          <w:color w:val="auto"/>
          <w:spacing w:val="0"/>
          <w:sz w:val="32"/>
          <w:szCs w:val="32"/>
        </w:rPr>
        <w:t>宣传，扩大</w:t>
      </w:r>
      <w:r>
        <w:rPr>
          <w:rFonts w:hint="eastAsia" w:ascii="仿宋_GB2312" w:hAnsi="仿宋_GB2312" w:eastAsia="仿宋_GB2312" w:cs="Times New Roman"/>
          <w:color w:val="auto"/>
          <w:spacing w:val="0"/>
          <w:sz w:val="32"/>
          <w:szCs w:val="32"/>
          <w:lang w:eastAsia="zh-CN"/>
        </w:rPr>
        <w:t>培育活动</w:t>
      </w:r>
      <w:r>
        <w:rPr>
          <w:rFonts w:hint="default" w:ascii="仿宋_GB2312" w:hAnsi="仿宋_GB2312" w:eastAsia="仿宋_GB2312" w:cs="Times New Roman"/>
          <w:color w:val="auto"/>
          <w:spacing w:val="0"/>
          <w:sz w:val="32"/>
          <w:szCs w:val="32"/>
        </w:rPr>
        <w:t>的覆盖面和影响力，引导企业自觉</w:t>
      </w:r>
      <w:r>
        <w:rPr>
          <w:rFonts w:hint="eastAsia" w:ascii="仿宋_GB2312" w:hAnsi="仿宋_GB2312" w:eastAsia="仿宋_GB2312" w:cs="Times New Roman"/>
          <w:color w:val="auto"/>
          <w:spacing w:val="0"/>
          <w:sz w:val="32"/>
          <w:szCs w:val="32"/>
          <w:lang w:eastAsia="zh-CN"/>
        </w:rPr>
        <w:t>配合</w:t>
      </w:r>
      <w:r>
        <w:rPr>
          <w:rFonts w:hint="default" w:ascii="仿宋_GB2312" w:hAnsi="仿宋_GB2312" w:eastAsia="仿宋_GB2312" w:cs="Times New Roman"/>
          <w:color w:val="auto"/>
          <w:spacing w:val="0"/>
          <w:sz w:val="32"/>
          <w:szCs w:val="32"/>
        </w:rPr>
        <w:t>参与。以《</w:t>
      </w:r>
      <w:r>
        <w:rPr>
          <w:rFonts w:hint="eastAsia" w:ascii="仿宋_GB2312" w:hAnsi="仿宋_GB2312" w:eastAsia="仿宋_GB2312" w:cs="Times New Roman"/>
          <w:color w:val="auto"/>
          <w:spacing w:val="0"/>
          <w:sz w:val="32"/>
          <w:szCs w:val="32"/>
          <w:lang w:eastAsia="zh-CN"/>
        </w:rPr>
        <w:t>山东</w:t>
      </w:r>
      <w:r>
        <w:rPr>
          <w:rFonts w:hint="default" w:ascii="仿宋_GB2312" w:hAnsi="仿宋_GB2312" w:eastAsia="仿宋_GB2312" w:cs="Times New Roman"/>
          <w:color w:val="auto"/>
          <w:spacing w:val="0"/>
          <w:sz w:val="32"/>
          <w:szCs w:val="32"/>
        </w:rPr>
        <w:t>省工程建设领域</w:t>
      </w:r>
      <w:r>
        <w:rPr>
          <w:rFonts w:hint="eastAsia" w:ascii="仿宋_GB2312" w:hAnsi="仿宋_GB2312" w:eastAsia="仿宋_GB2312" w:cs="Times New Roman"/>
          <w:color w:val="auto"/>
          <w:spacing w:val="0"/>
          <w:sz w:val="32"/>
          <w:szCs w:val="32"/>
          <w:lang w:eastAsia="zh-CN"/>
        </w:rPr>
        <w:t>保障农民工工资支付工作</w:t>
      </w:r>
      <w:r>
        <w:rPr>
          <w:rFonts w:hint="default" w:ascii="仿宋_GB2312" w:hAnsi="仿宋_GB2312" w:eastAsia="仿宋_GB2312" w:cs="Times New Roman"/>
          <w:color w:val="auto"/>
          <w:spacing w:val="0"/>
          <w:sz w:val="32"/>
          <w:szCs w:val="32"/>
        </w:rPr>
        <w:t>指导手册（第一版）》为重点内容，</w:t>
      </w:r>
      <w:r>
        <w:rPr>
          <w:rFonts w:hint="eastAsia" w:ascii="仿宋_GB2312" w:hAnsi="仿宋_GB2312" w:eastAsia="仿宋_GB2312" w:cs="Times New Roman"/>
          <w:color w:val="auto"/>
          <w:spacing w:val="0"/>
          <w:sz w:val="32"/>
          <w:szCs w:val="32"/>
          <w:lang w:eastAsia="zh-CN"/>
        </w:rPr>
        <w:t>结合“三课”服务工作</w:t>
      </w:r>
      <w:r>
        <w:rPr>
          <w:rFonts w:hint="default" w:ascii="仿宋_GB2312" w:hAnsi="仿宋_GB2312" w:eastAsia="仿宋_GB2312" w:cs="Times New Roman"/>
          <w:color w:val="auto"/>
          <w:spacing w:val="0"/>
          <w:sz w:val="32"/>
          <w:szCs w:val="32"/>
        </w:rPr>
        <w:t>对项目经理、劳资专管员等项目管理人员开展经常性培训，突出实名登记、人工费用拨付、考勤管理及工资审核发放、工资支付信息化监管、用工台账资料管理等实践操作，推动各方准确理解把握</w:t>
      </w:r>
      <w:r>
        <w:rPr>
          <w:rFonts w:hint="eastAsia" w:ascii="仿宋_GB2312" w:hAnsi="仿宋_GB2312" w:eastAsia="仿宋_GB2312" w:cs="Times New Roman"/>
          <w:color w:val="auto"/>
          <w:spacing w:val="0"/>
          <w:sz w:val="32"/>
          <w:szCs w:val="32"/>
          <w:lang w:eastAsia="zh-CN"/>
        </w:rPr>
        <w:t>开展“安薪项目”培育活动</w:t>
      </w:r>
      <w:r>
        <w:rPr>
          <w:rFonts w:hint="default" w:ascii="仿宋_GB2312" w:hAnsi="仿宋_GB2312" w:eastAsia="仿宋_GB2312" w:cs="Times New Roman"/>
          <w:color w:val="auto"/>
          <w:spacing w:val="0"/>
          <w:sz w:val="32"/>
          <w:szCs w:val="32"/>
        </w:rPr>
        <w:t>的内涵要求。</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Times New Roman"/>
          <w:color w:val="auto"/>
          <w:spacing w:val="0"/>
          <w:sz w:val="32"/>
          <w:szCs w:val="32"/>
          <w:lang w:eastAsia="zh-CN"/>
        </w:rPr>
      </w:pPr>
      <w:r>
        <w:rPr>
          <w:rFonts w:hint="default" w:ascii="仿宋_GB2312" w:hAnsi="仿宋_GB2312" w:eastAsia="仿宋_GB2312" w:cs="Times New Roman"/>
          <w:color w:val="auto"/>
          <w:spacing w:val="0"/>
          <w:sz w:val="32"/>
          <w:szCs w:val="32"/>
        </w:rPr>
        <w:t>各市要加强对所属县（市、区）的督促指导，将</w:t>
      </w:r>
      <w:r>
        <w:rPr>
          <w:rFonts w:hint="eastAsia" w:ascii="仿宋_GB2312" w:hAnsi="仿宋_GB2312" w:eastAsia="仿宋_GB2312" w:cs="Times New Roman"/>
          <w:color w:val="auto"/>
          <w:spacing w:val="0"/>
          <w:sz w:val="32"/>
          <w:szCs w:val="32"/>
          <w:lang w:eastAsia="zh-CN"/>
        </w:rPr>
        <w:t>培育活动</w:t>
      </w:r>
      <w:r>
        <w:rPr>
          <w:rFonts w:hint="default" w:ascii="仿宋_GB2312" w:hAnsi="仿宋_GB2312" w:eastAsia="仿宋_GB2312" w:cs="Times New Roman"/>
          <w:color w:val="auto"/>
          <w:spacing w:val="0"/>
          <w:sz w:val="32"/>
          <w:szCs w:val="32"/>
        </w:rPr>
        <w:t>开展情况纳入保障农民工工资支付工作考核的重要内容，在地区之间、项目之间营造比学赶超的良好氛围</w:t>
      </w:r>
      <w:r>
        <w:rPr>
          <w:rFonts w:hint="eastAsia" w:ascii="仿宋_GB2312" w:hAnsi="仿宋_GB2312" w:eastAsia="仿宋_GB2312" w:cs="Times New Roman"/>
          <w:color w:val="auto"/>
          <w:spacing w:val="0"/>
          <w:sz w:val="32"/>
          <w:szCs w:val="32"/>
          <w:lang w:eastAsia="zh-CN"/>
        </w:rPr>
        <w:t>，要结合日常工作进一步夯实“安薪项目”制度落实，推动制度标准化建设</w:t>
      </w:r>
      <w:r>
        <w:rPr>
          <w:rFonts w:hint="default" w:ascii="仿宋_GB2312" w:hAnsi="仿宋_GB2312" w:eastAsia="仿宋_GB2312" w:cs="Times New Roman"/>
          <w:color w:val="auto"/>
          <w:spacing w:val="0"/>
          <w:sz w:val="32"/>
          <w:szCs w:val="32"/>
        </w:rPr>
        <w:t>。</w:t>
      </w:r>
      <w:r>
        <w:rPr>
          <w:rFonts w:hint="eastAsia" w:ascii="仿宋_GB2312" w:hAnsi="仿宋_GB2312" w:eastAsia="仿宋_GB2312" w:cs="Times New Roman"/>
          <w:color w:val="auto"/>
          <w:spacing w:val="0"/>
          <w:sz w:val="32"/>
          <w:szCs w:val="32"/>
          <w:lang w:eastAsia="zh-CN"/>
        </w:rPr>
        <w:t>培育活动开展情况</w:t>
      </w:r>
      <w:r>
        <w:rPr>
          <w:rFonts w:hint="default" w:ascii="仿宋_GB2312" w:hAnsi="仿宋_GB2312" w:eastAsia="仿宋_GB2312" w:cs="Times New Roman"/>
          <w:color w:val="auto"/>
          <w:spacing w:val="0"/>
          <w:sz w:val="32"/>
          <w:szCs w:val="32"/>
        </w:rPr>
        <w:t>作为衡量各市保障农民工工资支付工作成效的重要依据</w:t>
      </w:r>
      <w:r>
        <w:rPr>
          <w:rFonts w:hint="eastAsia" w:ascii="仿宋_GB2312" w:hAnsi="仿宋_GB2312" w:eastAsia="仿宋_GB2312" w:cs="Times New Roman"/>
          <w:color w:val="auto"/>
          <w:spacing w:val="0"/>
          <w:sz w:val="32"/>
          <w:szCs w:val="32"/>
          <w:lang w:eastAsia="zh-CN"/>
        </w:rPr>
        <w:t>，对工作开展不扎实，弄虚作假、工作流于形式的，将视情予以通报、约谈</w:t>
      </w:r>
      <w:r>
        <w:rPr>
          <w:rFonts w:hint="default" w:ascii="仿宋_GB2312" w:hAnsi="仿宋_GB2312" w:eastAsia="仿宋_GB2312" w:cs="Times New Roman"/>
          <w:color w:val="auto"/>
          <w:spacing w:val="0"/>
          <w:sz w:val="32"/>
          <w:szCs w:val="32"/>
        </w:rPr>
        <w:t>。</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Times New Roman"/>
          <w:color w:val="auto"/>
          <w:spacing w:val="0"/>
          <w:sz w:val="32"/>
          <w:szCs w:val="32"/>
          <w:lang w:eastAsia="zh-CN"/>
        </w:rPr>
      </w:pPr>
      <w:r>
        <w:rPr>
          <w:rFonts w:hint="default" w:ascii="仿宋_GB2312" w:hAnsi="仿宋_GB2312" w:eastAsia="仿宋_GB2312" w:cs="Times New Roman"/>
          <w:color w:val="auto"/>
          <w:spacing w:val="0"/>
          <w:sz w:val="32"/>
          <w:szCs w:val="32"/>
        </w:rPr>
        <w:t>请各</w:t>
      </w:r>
      <w:r>
        <w:rPr>
          <w:rFonts w:hint="eastAsia" w:ascii="仿宋_GB2312" w:hAnsi="仿宋_GB2312" w:eastAsia="仿宋_GB2312" w:cs="Times New Roman"/>
          <w:color w:val="auto"/>
          <w:spacing w:val="0"/>
          <w:sz w:val="32"/>
          <w:szCs w:val="32"/>
          <w:lang w:eastAsia="zh-CN"/>
        </w:rPr>
        <w:t>市人力资源和社会保障局定期</w:t>
      </w:r>
      <w:r>
        <w:rPr>
          <w:rFonts w:hint="default" w:ascii="仿宋_GB2312" w:hAnsi="仿宋_GB2312" w:eastAsia="仿宋_GB2312" w:cs="Times New Roman"/>
          <w:color w:val="auto"/>
          <w:spacing w:val="0"/>
          <w:sz w:val="32"/>
          <w:szCs w:val="32"/>
        </w:rPr>
        <w:t>梳理</w:t>
      </w:r>
      <w:r>
        <w:rPr>
          <w:rFonts w:hint="eastAsia" w:ascii="仿宋_GB2312" w:hAnsi="仿宋_GB2312" w:eastAsia="仿宋_GB2312" w:cs="Times New Roman"/>
          <w:color w:val="auto"/>
          <w:spacing w:val="0"/>
          <w:sz w:val="32"/>
          <w:szCs w:val="32"/>
          <w:lang w:eastAsia="zh-CN"/>
        </w:rPr>
        <w:t>培育活动</w:t>
      </w:r>
      <w:r>
        <w:rPr>
          <w:rFonts w:hint="default" w:ascii="仿宋_GB2312" w:hAnsi="仿宋_GB2312" w:eastAsia="仿宋_GB2312" w:cs="Times New Roman"/>
          <w:color w:val="auto"/>
          <w:spacing w:val="0"/>
          <w:sz w:val="32"/>
          <w:szCs w:val="32"/>
        </w:rPr>
        <w:t>进展情况（附件</w:t>
      </w:r>
      <w:r>
        <w:rPr>
          <w:rFonts w:hint="eastAsia" w:ascii="仿宋_GB2312" w:hAnsi="仿宋_GB2312" w:eastAsia="仿宋_GB2312" w:cs="Times New Roman"/>
          <w:color w:val="auto"/>
          <w:spacing w:val="0"/>
          <w:sz w:val="32"/>
          <w:szCs w:val="32"/>
          <w:lang w:val="en-US" w:eastAsia="zh-CN"/>
        </w:rPr>
        <w:t>2</w:t>
      </w:r>
      <w:r>
        <w:rPr>
          <w:rFonts w:hint="default" w:ascii="仿宋_GB2312" w:hAnsi="仿宋_GB2312" w:eastAsia="仿宋_GB2312" w:cs="Times New Roman"/>
          <w:color w:val="auto"/>
          <w:spacing w:val="0"/>
          <w:sz w:val="32"/>
          <w:szCs w:val="32"/>
        </w:rPr>
        <w:t>），</w:t>
      </w:r>
      <w:r>
        <w:rPr>
          <w:rFonts w:hint="eastAsia" w:ascii="仿宋_GB2312" w:hAnsi="仿宋_GB2312" w:eastAsia="仿宋_GB2312" w:cs="Times New Roman"/>
          <w:color w:val="auto"/>
          <w:spacing w:val="0"/>
          <w:sz w:val="32"/>
          <w:szCs w:val="32"/>
          <w:lang w:eastAsia="zh-CN"/>
        </w:rPr>
        <w:t>每年</w:t>
      </w:r>
      <w:r>
        <w:rPr>
          <w:rFonts w:hint="eastAsia" w:ascii="仿宋_GB2312" w:hAnsi="仿宋_GB2312" w:eastAsia="仿宋_GB2312" w:cs="Times New Roman"/>
          <w:color w:val="auto"/>
          <w:spacing w:val="0"/>
          <w:sz w:val="32"/>
          <w:szCs w:val="32"/>
          <w:lang w:val="en-US" w:eastAsia="zh-CN"/>
        </w:rPr>
        <w:t>10月中旬</w:t>
      </w:r>
      <w:r>
        <w:rPr>
          <w:rFonts w:hint="default" w:ascii="仿宋_GB2312" w:hAnsi="仿宋_GB2312" w:eastAsia="仿宋_GB2312" w:cs="Times New Roman"/>
          <w:color w:val="auto"/>
          <w:spacing w:val="0"/>
          <w:sz w:val="32"/>
          <w:szCs w:val="32"/>
        </w:rPr>
        <w:t>上报至省</w:t>
      </w:r>
      <w:r>
        <w:rPr>
          <w:rFonts w:hint="eastAsia" w:ascii="仿宋_GB2312" w:hAnsi="仿宋_GB2312" w:eastAsia="仿宋_GB2312" w:cs="Times New Roman"/>
          <w:color w:val="auto"/>
          <w:spacing w:val="0"/>
          <w:sz w:val="32"/>
          <w:szCs w:val="32"/>
          <w:lang w:eastAsia="zh-CN"/>
        </w:rPr>
        <w:t>人力资源社会保障厅劳动监察处。</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联系人：李强，曹新钊</w:t>
      </w:r>
    </w:p>
    <w:p>
      <w:pPr>
        <w:keepNext w:val="0"/>
        <w:keepLines w:val="0"/>
        <w:pageBreakBefore w:val="0"/>
        <w:widowControl w:val="0"/>
        <w:kinsoku/>
        <w:wordWrap/>
        <w:overflowPunct/>
        <w:topLinePunct w:val="0"/>
        <w:autoSpaceDE/>
        <w:autoSpaceDN/>
        <w:bidi w:val="0"/>
        <w:adjustRightInd/>
        <w:snapToGrid w:val="0"/>
        <w:spacing w:line="586" w:lineRule="exact"/>
        <w:ind w:firstLine="632" w:firstLineChars="200"/>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联系电话：0531-88954601，</w:t>
      </w:r>
    </w:p>
    <w:p>
      <w:pPr>
        <w:pStyle w:val="4"/>
        <w:keepNext w:val="0"/>
        <w:keepLines w:val="0"/>
        <w:pageBreakBefore w:val="0"/>
        <w:widowControl w:val="0"/>
        <w:kinsoku/>
        <w:wordWrap/>
        <w:overflowPunct/>
        <w:topLinePunct w:val="0"/>
        <w:autoSpaceDE/>
        <w:autoSpaceDN/>
        <w:bidi w:val="0"/>
        <w:adjustRightInd/>
        <w:snapToGrid w:val="0"/>
        <w:spacing w:line="586" w:lineRule="exact"/>
        <w:ind w:left="0" w:leftChars="0" w:firstLine="632" w:firstLineChars="200"/>
        <w:textAlignment w:val="auto"/>
        <w:rPr>
          <w:rFonts w:hint="eastAsia" w:ascii="仿宋_GB2312" w:hAnsi="仿宋_GB2312" w:eastAsia="仿宋_GB2312" w:cs="仿宋_GB2312"/>
          <w:color w:val="auto"/>
          <w:sz w:val="32"/>
          <w:szCs w:val="32"/>
          <w:u w:val="none"/>
          <w:lang w:val="en-US" w:eastAsia="zh-CN"/>
        </w:rPr>
      </w:pPr>
      <w:r>
        <w:rPr>
          <w:rFonts w:hint="eastAsia" w:ascii="仿宋_GB2312" w:hAnsi="仿宋_GB2312" w:eastAsia="仿宋_GB2312" w:cs="仿宋_GB2312"/>
          <w:color w:val="auto"/>
          <w:sz w:val="32"/>
          <w:szCs w:val="32"/>
          <w:lang w:val="en-US" w:eastAsia="zh-CN"/>
        </w:rPr>
        <w:t>电子邮箱：</w:t>
      </w:r>
      <w:r>
        <w:rPr>
          <w:rFonts w:hint="eastAsia" w:ascii="仿宋_GB2312" w:hAnsi="仿宋_GB2312" w:eastAsia="仿宋_GB2312" w:cs="仿宋_GB2312"/>
          <w:color w:val="auto"/>
          <w:sz w:val="32"/>
          <w:szCs w:val="32"/>
          <w:u w:val="none"/>
          <w:lang w:val="en-US" w:eastAsia="zh-CN"/>
        </w:rPr>
        <w:fldChar w:fldCharType="begin"/>
      </w:r>
      <w:r>
        <w:rPr>
          <w:rFonts w:hint="eastAsia" w:ascii="仿宋_GB2312" w:hAnsi="仿宋_GB2312" w:eastAsia="仿宋_GB2312" w:cs="仿宋_GB2312"/>
          <w:color w:val="auto"/>
          <w:sz w:val="32"/>
          <w:szCs w:val="32"/>
          <w:u w:val="none"/>
          <w:lang w:val="en-US" w:eastAsia="zh-CN"/>
        </w:rPr>
        <w:instrText xml:space="preserve"> HYPERLINK "mailto:lqrst@shandong.cn" </w:instrText>
      </w:r>
      <w:r>
        <w:rPr>
          <w:rFonts w:hint="eastAsia" w:ascii="仿宋_GB2312" w:hAnsi="仿宋_GB2312" w:eastAsia="仿宋_GB2312" w:cs="仿宋_GB2312"/>
          <w:color w:val="auto"/>
          <w:sz w:val="32"/>
          <w:szCs w:val="32"/>
          <w:u w:val="none"/>
          <w:lang w:val="en-US" w:eastAsia="zh-CN"/>
        </w:rPr>
        <w:fldChar w:fldCharType="separate"/>
      </w:r>
      <w:r>
        <w:rPr>
          <w:rStyle w:val="11"/>
          <w:rFonts w:hint="eastAsia" w:ascii="仿宋_GB2312" w:hAnsi="仿宋_GB2312" w:eastAsia="仿宋_GB2312" w:cs="仿宋_GB2312"/>
          <w:color w:val="auto"/>
          <w:sz w:val="32"/>
          <w:szCs w:val="32"/>
          <w:u w:val="none"/>
          <w:lang w:val="en-US" w:eastAsia="zh-CN"/>
        </w:rPr>
        <w:t>lqrst@shandong.cn</w:t>
      </w:r>
      <w:r>
        <w:rPr>
          <w:rFonts w:hint="eastAsia" w:ascii="仿宋_GB2312" w:hAnsi="仿宋_GB2312" w:eastAsia="仿宋_GB2312" w:cs="仿宋_GB2312"/>
          <w:color w:val="auto"/>
          <w:sz w:val="32"/>
          <w:szCs w:val="32"/>
          <w:u w:val="none"/>
          <w:lang w:val="en-US" w:eastAsia="zh-CN"/>
        </w:rPr>
        <w:fldChar w:fldCharType="end"/>
      </w:r>
      <w:r>
        <w:rPr>
          <w:rFonts w:hint="eastAsia" w:ascii="仿宋_GB2312" w:hAnsi="仿宋_GB2312" w:eastAsia="仿宋_GB2312" w:cs="仿宋_GB2312"/>
          <w:color w:val="auto"/>
          <w:sz w:val="32"/>
          <w:szCs w:val="32"/>
          <w:u w:val="none"/>
          <w:lang w:val="en-US" w:eastAsia="zh-CN"/>
        </w:rPr>
        <w:t>。</w:t>
      </w:r>
    </w:p>
    <w:p>
      <w:pPr>
        <w:pStyle w:val="4"/>
        <w:keepNext w:val="0"/>
        <w:keepLines w:val="0"/>
        <w:pageBreakBefore w:val="0"/>
        <w:widowControl w:val="0"/>
        <w:kinsoku/>
        <w:wordWrap/>
        <w:overflowPunct/>
        <w:topLinePunct w:val="0"/>
        <w:autoSpaceDE/>
        <w:autoSpaceDN/>
        <w:bidi w:val="0"/>
        <w:adjustRightInd/>
        <w:snapToGrid w:val="0"/>
        <w:spacing w:line="586" w:lineRule="exact"/>
        <w:ind w:left="0" w:leftChars="0" w:firstLine="632" w:firstLineChars="200"/>
        <w:textAlignment w:val="auto"/>
        <w:rPr>
          <w:rFonts w:hint="eastAsia" w:ascii="仿宋_GB2312" w:hAnsi="仿宋_GB2312" w:eastAsia="仿宋_GB2312" w:cs="仿宋_GB2312"/>
          <w:color w:val="auto"/>
          <w:sz w:val="32"/>
          <w:szCs w:val="32"/>
          <w:u w:val="none"/>
          <w:lang w:val="en-US" w:eastAsia="zh-CN"/>
        </w:rPr>
      </w:pPr>
    </w:p>
    <w:p>
      <w:pPr>
        <w:pStyle w:val="4"/>
        <w:keepNext w:val="0"/>
        <w:keepLines w:val="0"/>
        <w:pageBreakBefore w:val="0"/>
        <w:widowControl w:val="0"/>
        <w:kinsoku/>
        <w:wordWrap/>
        <w:overflowPunct/>
        <w:topLinePunct w:val="0"/>
        <w:autoSpaceDE/>
        <w:autoSpaceDN/>
        <w:bidi w:val="0"/>
        <w:adjustRightInd/>
        <w:snapToGrid w:val="0"/>
        <w:spacing w:line="586" w:lineRule="exact"/>
        <w:ind w:left="0" w:leftChars="0" w:firstLine="632" w:firstLineChars="200"/>
        <w:textAlignment w:val="auto"/>
        <w:rPr>
          <w:rFonts w:hint="default" w:ascii="仿宋_GB2312" w:hAnsi="仿宋_GB2312" w:eastAsia="仿宋_GB2312" w:cs="Times New Roman"/>
          <w:b w:val="0"/>
          <w:bCs w:val="0"/>
          <w:color w:val="auto"/>
          <w:spacing w:val="0"/>
          <w:kern w:val="2"/>
          <w:sz w:val="32"/>
          <w:szCs w:val="32"/>
          <w:lang w:val="en-US" w:eastAsia="zh-CN" w:bidi="ar-SA"/>
        </w:rPr>
      </w:pPr>
      <w:r>
        <w:rPr>
          <w:rFonts w:hint="default" w:ascii="仿宋_GB2312" w:hAnsi="仿宋_GB2312" w:eastAsia="仿宋_GB2312" w:cs="Times New Roman"/>
          <w:b w:val="0"/>
          <w:bCs w:val="0"/>
          <w:color w:val="auto"/>
          <w:spacing w:val="0"/>
          <w:kern w:val="2"/>
          <w:sz w:val="32"/>
          <w:szCs w:val="32"/>
          <w:lang w:val="en-US" w:eastAsia="zh-CN" w:bidi="ar-SA"/>
        </w:rPr>
        <w:t>附件</w:t>
      </w:r>
      <w:r>
        <w:rPr>
          <w:rFonts w:hint="eastAsia" w:ascii="仿宋_GB2312" w:hAnsi="仿宋_GB2312" w:eastAsia="仿宋_GB2312" w:cs="Times New Roman"/>
          <w:b w:val="0"/>
          <w:bCs w:val="0"/>
          <w:color w:val="auto"/>
          <w:spacing w:val="0"/>
          <w:kern w:val="2"/>
          <w:sz w:val="32"/>
          <w:szCs w:val="32"/>
          <w:lang w:val="en-US" w:eastAsia="zh-CN" w:bidi="ar-SA"/>
        </w:rPr>
        <w:t>：1</w:t>
      </w:r>
      <w:r>
        <w:rPr>
          <w:rFonts w:hint="default" w:ascii="仿宋_GB2312" w:hAnsi="仿宋_GB2312" w:eastAsia="仿宋_GB2312" w:cs="Times New Roman"/>
          <w:b w:val="0"/>
          <w:bCs w:val="0"/>
          <w:color w:val="auto"/>
          <w:spacing w:val="0"/>
          <w:kern w:val="2"/>
          <w:sz w:val="32"/>
          <w:szCs w:val="32"/>
          <w:lang w:eastAsia="zh-CN" w:bidi="ar-SA"/>
        </w:rPr>
        <w:t>.</w:t>
      </w:r>
      <w:r>
        <w:rPr>
          <w:rFonts w:hint="eastAsia" w:ascii="仿宋_GB2312" w:hAnsi="仿宋_GB2312" w:eastAsia="仿宋_GB2312" w:cs="仿宋_GB2312"/>
          <w:b w:val="0"/>
          <w:bCs w:val="0"/>
          <w:color w:val="auto"/>
          <w:spacing w:val="0"/>
          <w:kern w:val="2"/>
          <w:sz w:val="32"/>
          <w:szCs w:val="32"/>
          <w:lang w:val="en-US" w:eastAsia="zh-CN" w:bidi="ar-SA"/>
        </w:rPr>
        <w:t>“安薪项目”</w:t>
      </w:r>
      <w:r>
        <w:rPr>
          <w:rFonts w:hint="default" w:ascii="仿宋_GB2312" w:hAnsi="仿宋_GB2312" w:eastAsia="仿宋_GB2312" w:cs="仿宋_GB2312"/>
          <w:b w:val="0"/>
          <w:bCs w:val="0"/>
          <w:color w:val="auto"/>
          <w:spacing w:val="0"/>
          <w:kern w:val="2"/>
          <w:sz w:val="32"/>
          <w:szCs w:val="32"/>
          <w:lang w:val="en-US" w:eastAsia="zh-CN" w:bidi="ar-SA"/>
        </w:rPr>
        <w:t>量</w:t>
      </w:r>
      <w:r>
        <w:rPr>
          <w:rFonts w:hint="default" w:ascii="仿宋_GB2312" w:hAnsi="仿宋_GB2312" w:eastAsia="仿宋_GB2312" w:cs="Times New Roman"/>
          <w:b w:val="0"/>
          <w:bCs w:val="0"/>
          <w:color w:val="auto"/>
          <w:spacing w:val="0"/>
          <w:kern w:val="2"/>
          <w:sz w:val="32"/>
          <w:szCs w:val="32"/>
          <w:lang w:val="en-US" w:eastAsia="zh-CN" w:bidi="ar-SA"/>
        </w:rPr>
        <w:t>化</w:t>
      </w:r>
      <w:r>
        <w:rPr>
          <w:rFonts w:hint="eastAsia" w:ascii="仿宋_GB2312" w:hAnsi="仿宋_GB2312" w:eastAsia="仿宋_GB2312" w:cs="Times New Roman"/>
          <w:b w:val="0"/>
          <w:bCs w:val="0"/>
          <w:color w:val="auto"/>
          <w:spacing w:val="0"/>
          <w:kern w:val="2"/>
          <w:sz w:val="32"/>
          <w:szCs w:val="32"/>
          <w:lang w:val="en-US" w:eastAsia="zh-CN" w:bidi="ar-SA"/>
        </w:rPr>
        <w:t>赋分</w:t>
      </w:r>
      <w:r>
        <w:rPr>
          <w:rFonts w:hint="default" w:ascii="仿宋_GB2312" w:hAnsi="仿宋_GB2312" w:eastAsia="仿宋_GB2312" w:cs="Times New Roman"/>
          <w:b w:val="0"/>
          <w:bCs w:val="0"/>
          <w:color w:val="auto"/>
          <w:spacing w:val="0"/>
          <w:kern w:val="2"/>
          <w:sz w:val="32"/>
          <w:szCs w:val="32"/>
          <w:lang w:val="en-US" w:eastAsia="zh-CN" w:bidi="ar-SA"/>
        </w:rPr>
        <w:t>表</w:t>
      </w:r>
    </w:p>
    <w:p>
      <w:pPr>
        <w:pStyle w:val="4"/>
        <w:keepNext w:val="0"/>
        <w:keepLines w:val="0"/>
        <w:pageBreakBefore w:val="0"/>
        <w:widowControl w:val="0"/>
        <w:kinsoku/>
        <w:wordWrap/>
        <w:overflowPunct/>
        <w:topLinePunct w:val="0"/>
        <w:autoSpaceDE/>
        <w:autoSpaceDN/>
        <w:bidi w:val="0"/>
        <w:adjustRightInd/>
        <w:snapToGrid w:val="0"/>
        <w:spacing w:line="586" w:lineRule="exact"/>
        <w:ind w:left="0" w:leftChars="0" w:firstLine="632" w:firstLineChars="200"/>
        <w:textAlignment w:val="auto"/>
        <w:rPr>
          <w:rFonts w:hint="default" w:ascii="仿宋_GB2312" w:hAnsi="仿宋_GB2312" w:eastAsia="仿宋_GB2312" w:cs="Times New Roman"/>
          <w:b w:val="0"/>
          <w:bCs w:val="0"/>
          <w:color w:val="auto"/>
          <w:spacing w:val="-6"/>
          <w:kern w:val="2"/>
          <w:sz w:val="32"/>
          <w:szCs w:val="32"/>
          <w:lang w:val="en-US" w:eastAsia="zh-CN" w:bidi="ar-SA"/>
        </w:rPr>
      </w:pPr>
      <w:r>
        <w:rPr>
          <w:rFonts w:hint="default" w:ascii="仿宋_GB2312" w:hAnsi="仿宋_GB2312" w:eastAsia="仿宋_GB2312" w:cs="Times New Roman"/>
          <w:b w:val="0"/>
          <w:bCs w:val="0"/>
          <w:color w:val="auto"/>
          <w:spacing w:val="0"/>
          <w:kern w:val="2"/>
          <w:sz w:val="32"/>
          <w:szCs w:val="32"/>
          <w:lang w:eastAsia="zh-CN" w:bidi="ar-SA"/>
        </w:rPr>
        <w:t xml:space="preserve">      2.</w:t>
      </w:r>
      <w:r>
        <w:rPr>
          <w:rFonts w:hint="eastAsia" w:ascii="仿宋_GB2312" w:hAnsi="仿宋_GB2312" w:eastAsia="仿宋_GB2312" w:cs="仿宋_GB2312"/>
          <w:b w:val="0"/>
          <w:bCs w:val="0"/>
          <w:color w:val="auto"/>
          <w:spacing w:val="-6"/>
          <w:kern w:val="2"/>
          <w:sz w:val="32"/>
          <w:szCs w:val="32"/>
          <w:lang w:val="en-US" w:eastAsia="zh-CN" w:bidi="ar-SA"/>
        </w:rPr>
        <w:t>“安薪项目”培育活动</w:t>
      </w:r>
      <w:r>
        <w:rPr>
          <w:rFonts w:hint="default" w:ascii="仿宋_GB2312" w:hAnsi="仿宋_GB2312" w:eastAsia="仿宋_GB2312" w:cs="Times New Roman"/>
          <w:b w:val="0"/>
          <w:bCs w:val="0"/>
          <w:color w:val="auto"/>
          <w:spacing w:val="-6"/>
          <w:kern w:val="2"/>
          <w:sz w:val="32"/>
          <w:szCs w:val="32"/>
          <w:lang w:val="en-US" w:eastAsia="zh-CN" w:bidi="ar-SA"/>
        </w:rPr>
        <w:t>进展情况表</w:t>
      </w:r>
    </w:p>
    <w:p>
      <w:pPr>
        <w:pStyle w:val="4"/>
        <w:keepNext w:val="0"/>
        <w:keepLines w:val="0"/>
        <w:pageBreakBefore w:val="0"/>
        <w:widowControl w:val="0"/>
        <w:numPr>
          <w:ilvl w:val="-1"/>
          <w:numId w:val="0"/>
        </w:numPr>
        <w:kinsoku/>
        <w:wordWrap/>
        <w:overflowPunct/>
        <w:topLinePunct w:val="0"/>
        <w:autoSpaceDE/>
        <w:autoSpaceDN/>
        <w:bidi w:val="0"/>
        <w:adjustRightInd/>
        <w:snapToGrid w:val="0"/>
        <w:spacing w:line="586" w:lineRule="exact"/>
        <w:ind w:left="0" w:leftChars="0" w:firstLine="0" w:firstLineChars="0"/>
        <w:textAlignment w:val="auto"/>
        <w:rPr>
          <w:rFonts w:hint="default" w:ascii="仿宋_GB2312" w:hAnsi="仿宋_GB2312" w:eastAsia="仿宋_GB2312" w:cs="Times New Roman"/>
          <w:b w:val="0"/>
          <w:bCs w:val="0"/>
          <w:color w:val="auto"/>
          <w:spacing w:val="-6"/>
          <w:kern w:val="2"/>
          <w:sz w:val="32"/>
          <w:szCs w:val="32"/>
          <w:lang w:val="en-US" w:eastAsia="zh-CN" w:bidi="ar-SA"/>
        </w:rPr>
      </w:pPr>
    </w:p>
    <w:p>
      <w:pPr>
        <w:pStyle w:val="4"/>
        <w:keepNext w:val="0"/>
        <w:keepLines w:val="0"/>
        <w:pageBreakBefore w:val="0"/>
        <w:widowControl w:val="0"/>
        <w:numPr>
          <w:ilvl w:val="-1"/>
          <w:numId w:val="0"/>
        </w:numPr>
        <w:kinsoku/>
        <w:wordWrap/>
        <w:overflowPunct/>
        <w:topLinePunct w:val="0"/>
        <w:autoSpaceDE/>
        <w:autoSpaceDN/>
        <w:bidi w:val="0"/>
        <w:adjustRightInd/>
        <w:snapToGrid w:val="0"/>
        <w:spacing w:line="586" w:lineRule="exact"/>
        <w:ind w:left="0" w:leftChars="0" w:firstLine="0" w:firstLineChars="0"/>
        <w:textAlignment w:val="auto"/>
        <w:rPr>
          <w:rFonts w:hint="default" w:ascii="仿宋_GB2312" w:hAnsi="仿宋_GB2312" w:eastAsia="仿宋_GB2312" w:cs="Times New Roman"/>
          <w:b w:val="0"/>
          <w:bCs w:val="0"/>
          <w:color w:val="auto"/>
          <w:spacing w:val="-6"/>
          <w:kern w:val="2"/>
          <w:sz w:val="32"/>
          <w:szCs w:val="32"/>
          <w:lang w:val="en-US" w:eastAsia="zh-CN" w:bidi="ar-SA"/>
        </w:rPr>
      </w:pP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vAlign w:val="center"/>
          </w:tcPr>
          <w:p>
            <w:pPr>
              <w:pStyle w:val="4"/>
              <w:keepNext w:val="0"/>
              <w:keepLines w:val="0"/>
              <w:pageBreakBefore w:val="0"/>
              <w:widowControl w:val="0"/>
              <w:kinsoku/>
              <w:wordWrap/>
              <w:overflowPunct/>
              <w:topLinePunct w:val="0"/>
              <w:autoSpaceDE/>
              <w:autoSpaceDN/>
              <w:bidi w:val="0"/>
              <w:adjustRightInd/>
              <w:snapToGrid w:val="0"/>
              <w:spacing w:line="586" w:lineRule="exact"/>
              <w:ind w:left="0"/>
              <w:jc w:val="center"/>
              <w:textAlignment w:val="auto"/>
              <w:rPr>
                <w:rFonts w:hint="eastAsia" w:ascii="仿宋_GB2312" w:hAnsi="仿宋_GB2312" w:eastAsia="仿宋_GB2312" w:cs="Times New Roman"/>
                <w:color w:val="auto"/>
                <w:spacing w:val="0"/>
                <w:sz w:val="32"/>
                <w:szCs w:val="32"/>
                <w:vertAlign w:val="baseline"/>
                <w:lang w:eastAsia="zh-CN"/>
              </w:rPr>
            </w:pPr>
            <w:r>
              <w:rPr>
                <w:rFonts w:hint="eastAsia" w:ascii="仿宋_GB2312" w:hAnsi="仿宋_GB2312" w:eastAsia="仿宋_GB2312" w:cs="Times New Roman"/>
                <w:color w:val="auto"/>
                <w:spacing w:val="0"/>
                <w:sz w:val="32"/>
                <w:szCs w:val="32"/>
                <w:lang w:eastAsia="zh-CN"/>
              </w:rPr>
              <w:t>山东</w:t>
            </w:r>
            <w:r>
              <w:rPr>
                <w:rFonts w:hint="default" w:ascii="仿宋_GB2312" w:hAnsi="仿宋_GB2312" w:eastAsia="仿宋_GB2312" w:cs="Times New Roman"/>
                <w:color w:val="auto"/>
                <w:spacing w:val="0"/>
                <w:sz w:val="32"/>
                <w:szCs w:val="32"/>
              </w:rPr>
              <w:t>省</w:t>
            </w:r>
            <w:r>
              <w:rPr>
                <w:rFonts w:hint="eastAsia" w:ascii="仿宋_GB2312" w:hAnsi="仿宋_GB2312" w:eastAsia="仿宋_GB2312" w:cs="Times New Roman"/>
                <w:color w:val="auto"/>
                <w:spacing w:val="0"/>
                <w:sz w:val="32"/>
                <w:szCs w:val="32"/>
                <w:lang w:eastAsia="zh-CN"/>
              </w:rPr>
              <w:t>人力资源和社会保障厅</w:t>
            </w:r>
          </w:p>
        </w:tc>
        <w:tc>
          <w:tcPr>
            <w:tcW w:w="4530" w:type="dxa"/>
            <w:vAlign w:val="center"/>
          </w:tcPr>
          <w:p>
            <w:pPr>
              <w:pStyle w:val="4"/>
              <w:keepNext w:val="0"/>
              <w:keepLines w:val="0"/>
              <w:pageBreakBefore w:val="0"/>
              <w:widowControl w:val="0"/>
              <w:kinsoku/>
              <w:wordWrap/>
              <w:overflowPunct/>
              <w:topLinePunct w:val="0"/>
              <w:autoSpaceDE/>
              <w:autoSpaceDN/>
              <w:bidi w:val="0"/>
              <w:adjustRightInd/>
              <w:snapToGrid w:val="0"/>
              <w:spacing w:line="586" w:lineRule="exact"/>
              <w:ind w:left="0"/>
              <w:jc w:val="center"/>
              <w:textAlignment w:val="auto"/>
              <w:rPr>
                <w:rFonts w:hint="eastAsia" w:ascii="仿宋_GB2312" w:hAnsi="仿宋_GB2312" w:eastAsia="仿宋_GB2312" w:cs="Times New Roman"/>
                <w:color w:val="auto"/>
                <w:spacing w:val="0"/>
                <w:sz w:val="32"/>
                <w:szCs w:val="32"/>
                <w:vertAlign w:val="baseline"/>
                <w:lang w:eastAsia="zh-CN"/>
              </w:rPr>
            </w:pPr>
            <w:r>
              <w:rPr>
                <w:rFonts w:hint="eastAsia" w:ascii="仿宋_GB2312" w:hAnsi="仿宋_GB2312" w:eastAsia="仿宋_GB2312" w:cs="Times New Roman"/>
                <w:color w:val="auto"/>
                <w:spacing w:val="0"/>
                <w:sz w:val="32"/>
                <w:szCs w:val="32"/>
                <w:lang w:eastAsia="zh-CN"/>
              </w:rPr>
              <w:t>山东省住房和城乡建设厅</w:t>
            </w:r>
          </w:p>
        </w:tc>
      </w:tr>
    </w:tbl>
    <w:p>
      <w:pPr>
        <w:pStyle w:val="4"/>
        <w:keepNext w:val="0"/>
        <w:keepLines w:val="0"/>
        <w:pageBreakBefore w:val="0"/>
        <w:widowControl w:val="0"/>
        <w:kinsoku/>
        <w:wordWrap/>
        <w:overflowPunct/>
        <w:topLinePunct w:val="0"/>
        <w:autoSpaceDE/>
        <w:autoSpaceDN/>
        <w:bidi w:val="0"/>
        <w:adjustRightInd/>
        <w:snapToGrid w:val="0"/>
        <w:spacing w:line="586" w:lineRule="exact"/>
        <w:ind w:left="0" w:firstLine="0" w:firstLineChars="0"/>
        <w:jc w:val="both"/>
        <w:textAlignment w:val="auto"/>
        <w:rPr>
          <w:rFonts w:hint="eastAsia" w:ascii="仿宋_GB2312" w:hAnsi="仿宋_GB2312" w:eastAsia="仿宋_GB2312" w:cs="Times New Roman"/>
          <w:color w:val="auto"/>
          <w:spacing w:val="0"/>
          <w:sz w:val="32"/>
          <w:szCs w:val="32"/>
          <w:lang w:eastAsia="zh-CN"/>
        </w:rPr>
      </w:pPr>
    </w:p>
    <w:p>
      <w:pPr>
        <w:pStyle w:val="4"/>
        <w:keepNext w:val="0"/>
        <w:keepLines w:val="0"/>
        <w:pageBreakBefore w:val="0"/>
        <w:widowControl w:val="0"/>
        <w:kinsoku/>
        <w:wordWrap/>
        <w:overflowPunct/>
        <w:topLinePunct w:val="0"/>
        <w:autoSpaceDE/>
        <w:autoSpaceDN/>
        <w:bidi w:val="0"/>
        <w:adjustRightInd/>
        <w:snapToGrid w:val="0"/>
        <w:spacing w:line="586" w:lineRule="exact"/>
        <w:ind w:left="0" w:firstLine="0" w:firstLineChars="0"/>
        <w:jc w:val="left"/>
        <w:textAlignment w:val="auto"/>
        <w:rPr>
          <w:rFonts w:hint="eastAsia" w:ascii="仿宋_GB2312" w:hAnsi="仿宋_GB2312" w:eastAsia="仿宋_GB2312" w:cs="Times New Roman"/>
          <w:color w:val="auto"/>
          <w:spacing w:val="0"/>
          <w:sz w:val="32"/>
          <w:szCs w:val="32"/>
          <w:lang w:eastAsia="zh-CN"/>
        </w:rPr>
      </w:pPr>
    </w:p>
    <w:p>
      <w:pPr>
        <w:rPr>
          <w:rFonts w:hint="eastAsia" w:ascii="仿宋_GB2312" w:hAnsi="仿宋_GB2312"/>
          <w:color w:val="auto"/>
          <w:lang w:eastAsia="zh-CN"/>
        </w:rPr>
      </w:pPr>
    </w:p>
    <w:tbl>
      <w:tblPr>
        <w:tblStyle w:val="13"/>
        <w:tblW w:w="906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0"/>
        <w:gridCol w:w="45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Pr>
          <w:p>
            <w:pPr>
              <w:pStyle w:val="4"/>
              <w:keepNext w:val="0"/>
              <w:keepLines w:val="0"/>
              <w:pageBreakBefore w:val="0"/>
              <w:widowControl w:val="0"/>
              <w:kinsoku/>
              <w:wordWrap/>
              <w:overflowPunct/>
              <w:topLinePunct w:val="0"/>
              <w:autoSpaceDE/>
              <w:autoSpaceDN/>
              <w:bidi w:val="0"/>
              <w:adjustRightInd/>
              <w:snapToGrid w:val="0"/>
              <w:spacing w:line="586" w:lineRule="exact"/>
              <w:ind w:left="0" w:leftChars="0" w:firstLine="0" w:firstLineChars="0"/>
              <w:jc w:val="center"/>
              <w:textAlignment w:val="auto"/>
              <w:rPr>
                <w:rFonts w:hint="eastAsia" w:ascii="仿宋_GB2312" w:hAnsi="仿宋_GB2312" w:eastAsia="仿宋_GB2312" w:cs="Times New Roman"/>
                <w:color w:val="auto"/>
                <w:spacing w:val="0"/>
                <w:sz w:val="32"/>
                <w:szCs w:val="32"/>
                <w:vertAlign w:val="baseline"/>
                <w:lang w:eastAsia="zh-CN"/>
              </w:rPr>
            </w:pPr>
            <w:r>
              <w:rPr>
                <w:rFonts w:hint="eastAsia" w:ascii="仿宋_GB2312" w:hAnsi="仿宋_GB2312" w:eastAsia="仿宋_GB2312" w:cs="Times New Roman"/>
                <w:color w:val="auto"/>
                <w:spacing w:val="0"/>
                <w:sz w:val="32"/>
                <w:szCs w:val="32"/>
                <w:lang w:eastAsia="zh-CN"/>
              </w:rPr>
              <w:t>山东省交通运输厅</w:t>
            </w:r>
          </w:p>
        </w:tc>
        <w:tc>
          <w:tcPr>
            <w:tcW w:w="4530" w:type="dxa"/>
          </w:tcPr>
          <w:p>
            <w:pPr>
              <w:pStyle w:val="4"/>
              <w:keepNext w:val="0"/>
              <w:keepLines w:val="0"/>
              <w:pageBreakBefore w:val="0"/>
              <w:widowControl w:val="0"/>
              <w:kinsoku/>
              <w:wordWrap/>
              <w:overflowPunct/>
              <w:topLinePunct w:val="0"/>
              <w:autoSpaceDE/>
              <w:autoSpaceDN/>
              <w:bidi w:val="0"/>
              <w:adjustRightInd/>
              <w:snapToGrid w:val="0"/>
              <w:spacing w:line="586" w:lineRule="exact"/>
              <w:ind w:left="0"/>
              <w:jc w:val="center"/>
              <w:textAlignment w:val="auto"/>
              <w:rPr>
                <w:rFonts w:hint="eastAsia" w:ascii="仿宋_GB2312" w:hAnsi="仿宋_GB2312" w:eastAsia="仿宋_GB2312" w:cs="Times New Roman"/>
                <w:color w:val="auto"/>
                <w:spacing w:val="0"/>
                <w:sz w:val="32"/>
                <w:szCs w:val="32"/>
                <w:vertAlign w:val="baseline"/>
                <w:lang w:eastAsia="zh-CN"/>
              </w:rPr>
            </w:pPr>
            <w:r>
              <w:rPr>
                <w:rFonts w:hint="eastAsia" w:ascii="仿宋_GB2312" w:hAnsi="仿宋_GB2312" w:eastAsia="仿宋_GB2312" w:cs="Times New Roman"/>
                <w:color w:val="auto"/>
                <w:spacing w:val="0"/>
                <w:sz w:val="32"/>
                <w:szCs w:val="32"/>
                <w:lang w:eastAsia="zh-CN"/>
              </w:rPr>
              <w:t>山东省水利厅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4530" w:type="dxa"/>
          </w:tcPr>
          <w:p>
            <w:pPr>
              <w:pStyle w:val="4"/>
              <w:keepNext w:val="0"/>
              <w:keepLines w:val="0"/>
              <w:pageBreakBefore w:val="0"/>
              <w:widowControl w:val="0"/>
              <w:kinsoku/>
              <w:wordWrap/>
              <w:overflowPunct/>
              <w:topLinePunct w:val="0"/>
              <w:autoSpaceDE/>
              <w:autoSpaceDN/>
              <w:bidi w:val="0"/>
              <w:adjustRightInd/>
              <w:snapToGrid w:val="0"/>
              <w:spacing w:line="586" w:lineRule="exact"/>
              <w:ind w:left="0"/>
              <w:jc w:val="center"/>
              <w:textAlignment w:val="auto"/>
              <w:rPr>
                <w:rFonts w:hint="eastAsia" w:ascii="仿宋_GB2312" w:hAnsi="仿宋_GB2312" w:eastAsia="仿宋_GB2312" w:cs="Times New Roman"/>
                <w:color w:val="auto"/>
                <w:spacing w:val="0"/>
                <w:sz w:val="32"/>
                <w:szCs w:val="32"/>
                <w:vertAlign w:val="baseline"/>
                <w:lang w:eastAsia="zh-CN"/>
              </w:rPr>
            </w:pPr>
          </w:p>
        </w:tc>
        <w:tc>
          <w:tcPr>
            <w:tcW w:w="4530" w:type="dxa"/>
          </w:tcPr>
          <w:p>
            <w:pPr>
              <w:pStyle w:val="4"/>
              <w:keepNext w:val="0"/>
              <w:keepLines w:val="0"/>
              <w:pageBreakBefore w:val="0"/>
              <w:widowControl w:val="0"/>
              <w:kinsoku/>
              <w:wordWrap/>
              <w:overflowPunct/>
              <w:topLinePunct w:val="0"/>
              <w:autoSpaceDE/>
              <w:autoSpaceDN/>
              <w:bidi w:val="0"/>
              <w:adjustRightInd/>
              <w:snapToGrid w:val="0"/>
              <w:spacing w:line="586" w:lineRule="exact"/>
              <w:ind w:left="0"/>
              <w:jc w:val="center"/>
              <w:textAlignment w:val="auto"/>
              <w:rPr>
                <w:rFonts w:hint="eastAsia" w:ascii="仿宋_GB2312" w:hAnsi="仿宋_GB2312" w:eastAsia="仿宋_GB2312" w:cs="Times New Roman"/>
                <w:color w:val="auto"/>
                <w:spacing w:val="0"/>
                <w:sz w:val="32"/>
                <w:szCs w:val="32"/>
                <w:vertAlign w:val="baseline"/>
                <w:lang w:eastAsia="zh-CN"/>
              </w:rPr>
            </w:pPr>
            <w:r>
              <w:rPr>
                <w:rFonts w:hint="eastAsia" w:ascii="仿宋_GB2312" w:hAnsi="仿宋_GB2312" w:eastAsia="仿宋_GB2312" w:cs="Times New Roman"/>
                <w:color w:val="auto"/>
                <w:spacing w:val="0"/>
                <w:sz w:val="32"/>
                <w:szCs w:val="32"/>
                <w:lang w:eastAsia="zh-CN"/>
              </w:rPr>
              <w:t>2024年</w:t>
            </w:r>
            <w:r>
              <w:rPr>
                <w:rFonts w:hint="eastAsia" w:ascii="仿宋_GB2312" w:hAnsi="仿宋_GB2312" w:eastAsia="仿宋_GB2312" w:cs="Times New Roman"/>
                <w:color w:val="auto"/>
                <w:spacing w:val="0"/>
                <w:sz w:val="32"/>
                <w:szCs w:val="32"/>
                <w:lang w:val="en-US" w:eastAsia="zh-CN"/>
              </w:rPr>
              <w:t>6</w:t>
            </w:r>
            <w:r>
              <w:rPr>
                <w:rFonts w:hint="eastAsia" w:ascii="仿宋_GB2312" w:hAnsi="仿宋_GB2312" w:eastAsia="仿宋_GB2312" w:cs="Times New Roman"/>
                <w:color w:val="auto"/>
                <w:spacing w:val="0"/>
                <w:sz w:val="32"/>
                <w:szCs w:val="32"/>
                <w:lang w:eastAsia="zh-CN"/>
              </w:rPr>
              <w:t>月</w:t>
            </w:r>
            <w:r>
              <w:rPr>
                <w:rFonts w:hint="eastAsia" w:ascii="仿宋_GB2312" w:hAnsi="仿宋_GB2312" w:eastAsia="仿宋_GB2312" w:cs="Times New Roman"/>
                <w:color w:val="auto"/>
                <w:spacing w:val="0"/>
                <w:sz w:val="32"/>
                <w:szCs w:val="32"/>
                <w:lang w:val="en-US" w:eastAsia="zh-CN"/>
              </w:rPr>
              <w:t>3</w:t>
            </w:r>
            <w:r>
              <w:rPr>
                <w:rFonts w:hint="eastAsia" w:ascii="仿宋_GB2312" w:hAnsi="仿宋_GB2312" w:eastAsia="仿宋_GB2312" w:cs="Times New Roman"/>
                <w:color w:val="auto"/>
                <w:spacing w:val="0"/>
                <w:sz w:val="32"/>
                <w:szCs w:val="32"/>
                <w:lang w:eastAsia="zh-CN"/>
              </w:rPr>
              <w:t>日</w:t>
            </w:r>
          </w:p>
        </w:tc>
      </w:tr>
    </w:tbl>
    <w:p>
      <w:pPr>
        <w:pStyle w:val="4"/>
        <w:keepNext w:val="0"/>
        <w:keepLines w:val="0"/>
        <w:pageBreakBefore w:val="0"/>
        <w:widowControl w:val="0"/>
        <w:kinsoku/>
        <w:wordWrap/>
        <w:overflowPunct/>
        <w:topLinePunct w:val="0"/>
        <w:autoSpaceDE/>
        <w:autoSpaceDN/>
        <w:bidi w:val="0"/>
        <w:adjustRightInd/>
        <w:snapToGrid w:val="0"/>
        <w:spacing w:line="586" w:lineRule="exact"/>
        <w:ind w:left="0" w:firstLine="632" w:firstLineChars="200"/>
        <w:jc w:val="left"/>
        <w:textAlignment w:val="auto"/>
        <w:rPr>
          <w:rFonts w:hint="eastAsia" w:ascii="仿宋_GB2312" w:hAnsi="仿宋_GB2312" w:eastAsia="仿宋_GB2312" w:cs="Times New Roman"/>
          <w:color w:val="auto"/>
          <w:spacing w:val="0"/>
          <w:sz w:val="32"/>
          <w:szCs w:val="32"/>
          <w:lang w:eastAsia="zh-CN"/>
        </w:rPr>
      </w:pPr>
      <w:r>
        <w:rPr>
          <w:rFonts w:hint="eastAsia" w:ascii="仿宋_GB2312" w:hAnsi="仿宋_GB2312" w:eastAsia="仿宋_GB2312" w:cs="仿宋_GB2312"/>
          <w:color w:val="auto"/>
          <w:spacing w:val="0"/>
          <w:sz w:val="32"/>
          <w:szCs w:val="32"/>
          <w:lang w:eastAsia="zh-CN"/>
        </w:rPr>
        <w:t>（</w:t>
      </w:r>
      <w:r>
        <w:rPr>
          <w:rFonts w:hint="default" w:ascii="仿宋_GB2312" w:hAnsi="仿宋_GB2312" w:eastAsia="仿宋_GB2312" w:cs="仿宋_GB2312"/>
          <w:color w:val="auto"/>
          <w:spacing w:val="0"/>
          <w:sz w:val="32"/>
          <w:szCs w:val="32"/>
          <w:lang w:eastAsia="zh-CN"/>
        </w:rPr>
        <w:t>此件主动公开</w:t>
      </w:r>
      <w:r>
        <w:rPr>
          <w:rFonts w:hint="eastAsia" w:ascii="仿宋_GB2312" w:hAnsi="仿宋_GB2312" w:eastAsia="仿宋_GB2312" w:cs="仿宋_GB2312"/>
          <w:color w:val="auto"/>
          <w:spacing w:val="0"/>
          <w:sz w:val="32"/>
          <w:szCs w:val="32"/>
          <w:lang w:eastAsia="zh-CN"/>
        </w:rPr>
        <w:t>）</w:t>
      </w:r>
    </w:p>
    <w:p>
      <w:pPr>
        <w:pStyle w:val="4"/>
        <w:keepNext w:val="0"/>
        <w:keepLines w:val="0"/>
        <w:pageBreakBefore w:val="0"/>
        <w:widowControl w:val="0"/>
        <w:kinsoku/>
        <w:wordWrap/>
        <w:overflowPunct/>
        <w:topLinePunct w:val="0"/>
        <w:autoSpaceDE/>
        <w:autoSpaceDN/>
        <w:bidi w:val="0"/>
        <w:adjustRightInd/>
        <w:snapToGrid w:val="0"/>
        <w:spacing w:line="586" w:lineRule="exact"/>
        <w:ind w:left="0" w:firstLine="632" w:firstLineChars="200"/>
        <w:jc w:val="left"/>
        <w:textAlignment w:val="auto"/>
        <w:rPr>
          <w:rFonts w:hint="default" w:ascii="仿宋_GB2312" w:hAnsi="仿宋_GB2312" w:eastAsia="仿宋_GB2312" w:cs="仿宋_GB2312"/>
          <w:color w:val="auto"/>
          <w:spacing w:val="0"/>
          <w:sz w:val="32"/>
          <w:szCs w:val="32"/>
          <w:lang w:eastAsia="zh-CN"/>
        </w:rPr>
      </w:pPr>
      <w:r>
        <w:rPr>
          <w:rFonts w:hint="default" w:ascii="仿宋_GB2312" w:hAnsi="仿宋_GB2312" w:eastAsia="仿宋_GB2312" w:cs="仿宋_GB2312"/>
          <w:color w:val="auto"/>
          <w:spacing w:val="0"/>
          <w:sz w:val="32"/>
          <w:szCs w:val="32"/>
          <w:lang w:eastAsia="zh-CN"/>
        </w:rPr>
        <w:t>（联系单位：省人力资源社会保障厅劳动监察处）</w:t>
      </w:r>
    </w:p>
    <w:p>
      <w:pPr>
        <w:keepNext w:val="0"/>
        <w:keepLines w:val="0"/>
        <w:pageBreakBefore w:val="0"/>
        <w:widowControl w:val="0"/>
        <w:kinsoku/>
        <w:wordWrap/>
        <w:overflowPunct/>
        <w:topLinePunct w:val="0"/>
        <w:autoSpaceDE/>
        <w:autoSpaceDN/>
        <w:bidi w:val="0"/>
        <w:adjustRightInd/>
        <w:spacing w:line="586" w:lineRule="exact"/>
        <w:textAlignment w:val="auto"/>
        <w:rPr>
          <w:rFonts w:hint="default" w:ascii="仿宋_GB2312" w:hAnsi="仿宋_GB2312" w:eastAsia="黑体" w:cs="Times New Roman"/>
          <w:color w:val="auto"/>
          <w:sz w:val="32"/>
          <w:szCs w:val="32"/>
        </w:rPr>
      </w:pPr>
      <w:r>
        <w:rPr>
          <w:rFonts w:hint="default" w:ascii="仿宋_GB2312" w:hAnsi="仿宋_GB2312" w:eastAsia="黑体" w:cs="Times New Roman"/>
          <w:color w:val="auto"/>
          <w:sz w:val="32"/>
          <w:szCs w:val="32"/>
        </w:rPr>
        <w:br w:type="page"/>
      </w:r>
    </w:p>
    <w:p>
      <w:pPr>
        <w:keepNext w:val="0"/>
        <w:keepLines w:val="0"/>
        <w:pageBreakBefore w:val="0"/>
        <w:widowControl w:val="0"/>
        <w:kinsoku/>
        <w:wordWrap/>
        <w:overflowPunct w:val="0"/>
        <w:autoSpaceDE/>
        <w:autoSpaceDN/>
        <w:bidi w:val="0"/>
        <w:adjustRightInd/>
        <w:snapToGrid/>
        <w:spacing w:line="560" w:lineRule="exact"/>
        <w:ind w:left="0" w:leftChars="0"/>
        <w:jc w:val="left"/>
        <w:textAlignment w:val="auto"/>
        <w:rPr>
          <w:rFonts w:hint="eastAsia" w:ascii="仿宋_GB2312" w:hAnsi="仿宋_GB2312" w:eastAsia="黑体" w:cs="Times New Roman"/>
          <w:color w:val="auto"/>
          <w:sz w:val="32"/>
          <w:szCs w:val="32"/>
          <w:lang w:val="en-US" w:eastAsia="zh-CN"/>
        </w:rPr>
      </w:pPr>
      <w:r>
        <w:rPr>
          <w:rFonts w:hint="default" w:ascii="仿宋_GB2312" w:hAnsi="仿宋_GB2312" w:eastAsia="黑体" w:cs="Times New Roman"/>
          <w:color w:val="auto"/>
          <w:sz w:val="32"/>
          <w:szCs w:val="32"/>
        </w:rPr>
        <w:t>附件</w:t>
      </w:r>
      <w:r>
        <w:rPr>
          <w:rFonts w:hint="eastAsia" w:ascii="黑体" w:hAnsi="黑体" w:eastAsia="黑体" w:cs="黑体"/>
          <w:color w:val="auto"/>
          <w:sz w:val="32"/>
          <w:szCs w:val="32"/>
          <w:lang w:val="en-US" w:eastAsia="zh-CN"/>
        </w:rPr>
        <w:t>1</w:t>
      </w:r>
    </w:p>
    <w:p>
      <w:pPr>
        <w:pStyle w:val="2"/>
        <w:keepNext w:val="0"/>
        <w:keepLines w:val="0"/>
        <w:pageBreakBefore w:val="0"/>
        <w:widowControl w:val="0"/>
        <w:kinsoku/>
        <w:wordWrap/>
        <w:autoSpaceDE/>
        <w:autoSpaceDN/>
        <w:bidi w:val="0"/>
        <w:adjustRightInd/>
        <w:snapToGrid/>
        <w:spacing w:after="0" w:afterLines="0" w:line="560" w:lineRule="exact"/>
        <w:ind w:left="0" w:leftChars="0"/>
        <w:textAlignment w:val="auto"/>
        <w:rPr>
          <w:rFonts w:hint="eastAsia" w:ascii="仿宋_GB2312" w:hAnsi="仿宋_GB2312"/>
          <w:color w:val="auto"/>
          <w:lang w:eastAsia="zh-CN"/>
        </w:rPr>
      </w:pPr>
    </w:p>
    <w:p>
      <w:pPr>
        <w:keepNext w:val="0"/>
        <w:keepLines w:val="0"/>
        <w:pageBreakBefore w:val="0"/>
        <w:widowControl w:val="0"/>
        <w:kinsoku/>
        <w:wordWrap/>
        <w:topLinePunct/>
        <w:autoSpaceDE/>
        <w:autoSpaceDN/>
        <w:bidi w:val="0"/>
        <w:adjustRightInd/>
        <w:snapToGrid/>
        <w:spacing w:line="560" w:lineRule="exact"/>
        <w:ind w:left="0" w:leftChars="0"/>
        <w:jc w:val="center"/>
        <w:textAlignment w:val="auto"/>
        <w:rPr>
          <w:rFonts w:hint="eastAsia" w:ascii="仿宋_GB2312" w:hAnsi="仿宋_GB2312" w:eastAsia="方正小标宋简体"/>
          <w:color w:val="auto"/>
          <w:sz w:val="44"/>
          <w:szCs w:val="44"/>
        </w:rPr>
      </w:pPr>
      <w:r>
        <w:rPr>
          <w:rFonts w:hint="eastAsia" w:ascii="仿宋_GB2312" w:hAnsi="仿宋_GB2312" w:eastAsia="方正小标宋简体"/>
          <w:color w:val="auto"/>
          <w:sz w:val="44"/>
          <w:szCs w:val="44"/>
          <w:lang w:eastAsia="zh-CN"/>
        </w:rPr>
        <w:t>“安薪项目”</w:t>
      </w:r>
      <w:r>
        <w:rPr>
          <w:rFonts w:hint="eastAsia" w:ascii="仿宋_GB2312" w:hAnsi="仿宋_GB2312" w:eastAsia="方正小标宋简体"/>
          <w:color w:val="auto"/>
          <w:sz w:val="44"/>
          <w:szCs w:val="44"/>
        </w:rPr>
        <w:t>量化</w:t>
      </w:r>
      <w:r>
        <w:rPr>
          <w:rFonts w:hint="eastAsia" w:ascii="仿宋_GB2312" w:hAnsi="仿宋_GB2312" w:eastAsia="方正小标宋简体"/>
          <w:color w:val="auto"/>
          <w:sz w:val="44"/>
          <w:szCs w:val="44"/>
          <w:lang w:eastAsia="zh-CN"/>
        </w:rPr>
        <w:t>赋分</w:t>
      </w:r>
      <w:r>
        <w:rPr>
          <w:rFonts w:hint="eastAsia" w:ascii="仿宋_GB2312" w:hAnsi="仿宋_GB2312" w:eastAsia="方正小标宋简体"/>
          <w:color w:val="auto"/>
          <w:sz w:val="44"/>
          <w:szCs w:val="44"/>
        </w:rPr>
        <w:t>表</w:t>
      </w:r>
    </w:p>
    <w:p>
      <w:pPr>
        <w:pStyle w:val="2"/>
        <w:keepNext w:val="0"/>
        <w:keepLines w:val="0"/>
        <w:pageBreakBefore w:val="0"/>
        <w:widowControl w:val="0"/>
        <w:kinsoku/>
        <w:wordWrap/>
        <w:autoSpaceDE/>
        <w:autoSpaceDN/>
        <w:bidi w:val="0"/>
        <w:adjustRightInd/>
        <w:snapToGrid/>
        <w:spacing w:after="0" w:afterLines="0" w:line="560" w:lineRule="exact"/>
        <w:ind w:left="0" w:leftChars="0"/>
        <w:textAlignment w:val="auto"/>
        <w:rPr>
          <w:rFonts w:hint="eastAsia" w:ascii="仿宋_GB2312" w:hAnsi="仿宋_GB2312"/>
          <w:color w:val="auto"/>
        </w:rPr>
      </w:pPr>
    </w:p>
    <w:p>
      <w:pPr>
        <w:keepNext w:val="0"/>
        <w:keepLines w:val="0"/>
        <w:pageBreakBefore w:val="0"/>
        <w:widowControl w:val="0"/>
        <w:kinsoku/>
        <w:wordWrap/>
        <w:overflowPunct/>
        <w:topLinePunct/>
        <w:autoSpaceDE/>
        <w:autoSpaceDN/>
        <w:bidi w:val="0"/>
        <w:adjustRightInd/>
        <w:snapToGrid/>
        <w:spacing w:line="400" w:lineRule="exact"/>
        <w:textAlignment w:val="auto"/>
        <w:rPr>
          <w:rFonts w:hint="eastAsia" w:ascii="仿宋_GB2312" w:hAnsi="仿宋_GB2312" w:eastAsia="楷体_GB2312"/>
          <w:color w:val="auto"/>
          <w:sz w:val="24"/>
        </w:rPr>
      </w:pPr>
      <w:r>
        <w:rPr>
          <w:rFonts w:hint="eastAsia" w:ascii="仿宋_GB2312" w:hAnsi="仿宋_GB2312" w:eastAsia="楷体_GB2312"/>
          <w:color w:val="auto"/>
          <w:sz w:val="24"/>
        </w:rPr>
        <w:t xml:space="preserve">县（市、区）：             项目名称：               </w:t>
      </w:r>
      <w:r>
        <w:rPr>
          <w:rFonts w:hint="eastAsia" w:ascii="仿宋_GB2312" w:hAnsi="仿宋_GB2312" w:eastAsia="楷体_GB2312"/>
          <w:color w:val="auto"/>
          <w:sz w:val="24"/>
          <w:lang w:eastAsia="zh-CN"/>
        </w:rPr>
        <w:t>赋分</w:t>
      </w:r>
      <w:r>
        <w:rPr>
          <w:rFonts w:hint="eastAsia" w:ascii="仿宋_GB2312" w:hAnsi="仿宋_GB2312" w:eastAsia="楷体_GB2312"/>
          <w:color w:val="auto"/>
          <w:sz w:val="24"/>
        </w:rPr>
        <w:t>时间：</w:t>
      </w:r>
    </w:p>
    <w:tbl>
      <w:tblPr>
        <w:tblStyle w:val="12"/>
        <w:tblW w:w="9256" w:type="dxa"/>
        <w:jc w:val="center"/>
        <w:tblInd w:w="0" w:type="dxa"/>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
      <w:tblGrid>
        <w:gridCol w:w="525"/>
        <w:gridCol w:w="619"/>
        <w:gridCol w:w="1235"/>
        <w:gridCol w:w="2804"/>
        <w:gridCol w:w="1554"/>
        <w:gridCol w:w="615"/>
        <w:gridCol w:w="1125"/>
        <w:gridCol w:w="779"/>
      </w:tblGrid>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340" w:hRule="atLeast"/>
          <w:tblHeader/>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序号</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评估</w:t>
            </w:r>
            <w:r>
              <w:rPr>
                <w:rFonts w:hint="eastAsia" w:ascii="仿宋_GB2312" w:hAnsi="仿宋_GB2312" w:eastAsia="黑体" w:cs="Times New Roman"/>
                <w:color w:val="auto"/>
                <w:sz w:val="24"/>
                <w:szCs w:val="32"/>
                <w:lang w:eastAsia="zh-CN"/>
              </w:rPr>
              <w:t>指标及</w:t>
            </w:r>
            <w:r>
              <w:rPr>
                <w:rFonts w:hint="default" w:ascii="仿宋_GB2312" w:hAnsi="仿宋_GB2312" w:eastAsia="黑体" w:cs="Times New Roman"/>
                <w:color w:val="auto"/>
                <w:sz w:val="24"/>
                <w:szCs w:val="32"/>
              </w:rPr>
              <w:t>内容</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分值</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权重</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黑体" w:cs="Times New Roman"/>
                <w:color w:val="auto"/>
                <w:sz w:val="24"/>
                <w:szCs w:val="32"/>
                <w:lang w:eastAsia="zh-CN"/>
              </w:rPr>
            </w:pPr>
            <w:r>
              <w:rPr>
                <w:rFonts w:hint="eastAsia" w:ascii="仿宋_GB2312" w:hAnsi="仿宋_GB2312" w:eastAsia="黑体" w:cs="Times New Roman"/>
                <w:color w:val="auto"/>
                <w:sz w:val="24"/>
                <w:szCs w:val="32"/>
                <w:lang w:eastAsia="zh-CN"/>
              </w:rPr>
              <w:t>赋分</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4"/>
                <w:szCs w:val="32"/>
              </w:rPr>
            </w:pPr>
            <w:r>
              <w:rPr>
                <w:rFonts w:hint="default" w:ascii="仿宋_GB2312" w:hAnsi="仿宋_GB2312" w:eastAsia="黑体" w:cs="Times New Roman"/>
                <w:color w:val="auto"/>
                <w:sz w:val="24"/>
                <w:szCs w:val="32"/>
              </w:rPr>
              <w:t>得分</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1</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建设单位以项目为单位</w:t>
            </w:r>
            <w:r>
              <w:rPr>
                <w:rFonts w:hint="default" w:ascii="仿宋_GB2312" w:hAnsi="仿宋_GB2312" w:eastAsia="仿宋_GB2312" w:cs="Times New Roman"/>
                <w:color w:val="auto"/>
                <w:sz w:val="22"/>
                <w:szCs w:val="22"/>
              </w:rPr>
              <w:t>成立</w:t>
            </w:r>
            <w:r>
              <w:rPr>
                <w:rFonts w:hint="eastAsia" w:ascii="仿宋_GB2312" w:hAnsi="仿宋_GB2312" w:eastAsia="仿宋_GB2312" w:cs="Times New Roman"/>
                <w:color w:val="auto"/>
                <w:sz w:val="22"/>
                <w:szCs w:val="22"/>
                <w:lang w:eastAsia="zh-CN"/>
              </w:rPr>
              <w:t>保障农民工工资支付协调机制和工资拖欠预防机制</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olor w:val="auto"/>
                <w:lang w:eastAsia="zh-CN"/>
              </w:rPr>
            </w:pPr>
            <w:r>
              <w:rPr>
                <w:rFonts w:hint="eastAsia" w:ascii="仿宋_GB2312" w:hAnsi="仿宋_GB2312" w:eastAsia="仿宋_GB2312" w:cs="Times New Roman"/>
                <w:color w:val="auto"/>
                <w:sz w:val="22"/>
                <w:szCs w:val="22"/>
                <w:lang w:eastAsia="zh-CN"/>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2</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项目部</w:t>
            </w:r>
            <w:r>
              <w:rPr>
                <w:rFonts w:hint="default" w:ascii="仿宋_GB2312" w:hAnsi="仿宋_GB2312" w:eastAsia="仿宋_GB2312" w:cs="Times New Roman"/>
                <w:color w:val="auto"/>
                <w:sz w:val="22"/>
                <w:szCs w:val="22"/>
              </w:rPr>
              <w:t>组织学习培训根治欠薪相关法律法规。建设单位项目负责人、总包单位项目经理、劳资专管员等熟悉保障农民工工资支付法规政策和本项目农民工工资支付情况。</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采取多种形式，向农民工宣传</w:t>
            </w:r>
            <w:r>
              <w:rPr>
                <w:rFonts w:hint="eastAsia" w:ascii="仿宋_GB2312" w:hAnsi="仿宋_GB2312" w:eastAsia="仿宋_GB2312" w:cs="Times New Roman"/>
                <w:color w:val="auto"/>
                <w:sz w:val="22"/>
                <w:szCs w:val="22"/>
                <w:lang w:eastAsia="zh-CN"/>
              </w:rPr>
              <w:t>有关</w:t>
            </w:r>
            <w:r>
              <w:rPr>
                <w:rFonts w:hint="default" w:ascii="仿宋_GB2312" w:hAnsi="仿宋_GB2312" w:eastAsia="仿宋_GB2312" w:cs="Times New Roman"/>
                <w:color w:val="auto"/>
                <w:sz w:val="22"/>
                <w:szCs w:val="22"/>
              </w:rPr>
              <w:t>法规政策。</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按规定办理立项审批手续</w:t>
            </w:r>
            <w:r>
              <w:rPr>
                <w:rFonts w:hint="eastAsia" w:ascii="仿宋_GB2312" w:hAnsi="仿宋_GB2312" w:eastAsia="仿宋_GB2312" w:cs="Times New Roman"/>
                <w:color w:val="auto"/>
                <w:sz w:val="22"/>
                <w:szCs w:val="22"/>
                <w:lang w:eastAsia="zh-CN"/>
              </w:rPr>
              <w:t>、开展招投标工作</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5</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建设单位与总包单位订立书面工程施工合同</w:t>
            </w:r>
            <w:r>
              <w:rPr>
                <w:rFonts w:hint="eastAsia" w:ascii="仿宋_GB2312" w:hAnsi="仿宋_GB2312" w:eastAsia="仿宋_GB2312" w:cs="Times New Roman"/>
                <w:color w:val="auto"/>
                <w:sz w:val="22"/>
                <w:szCs w:val="22"/>
                <w:lang w:eastAsia="zh-CN"/>
              </w:rPr>
              <w:t>。其中</w:t>
            </w:r>
            <w:r>
              <w:rPr>
                <w:rFonts w:hint="default" w:ascii="仿宋_GB2312" w:hAnsi="仿宋_GB2312" w:eastAsia="仿宋_GB2312" w:cs="Times New Roman"/>
                <w:color w:val="auto"/>
                <w:sz w:val="22"/>
                <w:szCs w:val="22"/>
              </w:rPr>
              <w:t>约定工程款计量周期、工程款进度结算办法、人工费用拨付周期和拨付日期、人工费用的数额或者占工程款的比例等内容。</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6</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依法依规办理施工许可手续。</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7</w:t>
            </w:r>
          </w:p>
        </w:tc>
        <w:tc>
          <w:tcPr>
            <w:tcW w:w="6212" w:type="dxa"/>
            <w:gridSpan w:val="4"/>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总包单位配备一定数量的劳资专管员</w:t>
            </w:r>
          </w:p>
        </w:tc>
        <w:tc>
          <w:tcPr>
            <w:tcW w:w="61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3</w:t>
            </w:r>
          </w:p>
        </w:tc>
        <w:tc>
          <w:tcPr>
            <w:tcW w:w="11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行业部门</w:t>
            </w:r>
          </w:p>
        </w:tc>
        <w:tc>
          <w:tcPr>
            <w:tcW w:w="779"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8</w:t>
            </w:r>
          </w:p>
        </w:tc>
        <w:tc>
          <w:tcPr>
            <w:tcW w:w="6212" w:type="dxa"/>
            <w:gridSpan w:val="4"/>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仿宋_GB2312" w:cs="Times New Roman"/>
                <w:color w:val="auto"/>
                <w:sz w:val="22"/>
                <w:szCs w:val="22"/>
                <w:lang w:eastAsia="zh-CN"/>
              </w:rPr>
              <w:t>总包单位</w:t>
            </w:r>
            <w:r>
              <w:rPr>
                <w:rFonts w:hint="default" w:ascii="仿宋_GB2312" w:hAnsi="仿宋_GB2312" w:eastAsia="仿宋_GB2312" w:cs="Times New Roman"/>
                <w:color w:val="auto"/>
                <w:sz w:val="22"/>
                <w:szCs w:val="22"/>
              </w:rPr>
              <w:t>对分包单位劳动用工实施监督管理。</w:t>
            </w:r>
          </w:p>
        </w:tc>
        <w:tc>
          <w:tcPr>
            <w:tcW w:w="61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3</w:t>
            </w:r>
          </w:p>
        </w:tc>
        <w:tc>
          <w:tcPr>
            <w:tcW w:w="11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default" w:ascii="仿宋_GB2312" w:hAnsi="仿宋_GB2312" w:eastAsia="仿宋_GB2312" w:cs="Times New Roman"/>
                <w:color w:val="auto"/>
                <w:sz w:val="22"/>
                <w:szCs w:val="22"/>
              </w:rPr>
              <w:t>人社部门</w:t>
            </w:r>
          </w:p>
        </w:tc>
        <w:tc>
          <w:tcPr>
            <w:tcW w:w="779"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9</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施工合同签订之日起</w:t>
            </w:r>
            <w:r>
              <w:rPr>
                <w:rFonts w:hint="eastAsia" w:ascii="仿宋_GB2312" w:hAnsi="仿宋_GB2312" w:eastAsia="仿宋_GB2312" w:cs="Times New Roman"/>
                <w:color w:val="auto"/>
                <w:sz w:val="22"/>
                <w:szCs w:val="22"/>
                <w:lang w:val="en-US" w:eastAsia="zh-CN"/>
              </w:rPr>
              <w:t>30日内</w:t>
            </w:r>
            <w:r>
              <w:rPr>
                <w:rFonts w:hint="default" w:ascii="仿宋_GB2312" w:hAnsi="仿宋_GB2312" w:eastAsia="仿宋_GB2312" w:cs="Times New Roman"/>
                <w:color w:val="auto"/>
                <w:sz w:val="22"/>
                <w:szCs w:val="22"/>
              </w:rPr>
              <w:t>将项目纳入</w:t>
            </w:r>
            <w:r>
              <w:rPr>
                <w:rFonts w:hint="eastAsia" w:ascii="仿宋_GB2312" w:hAnsi="仿宋_GB2312" w:eastAsia="仿宋_GB2312" w:cs="Times New Roman"/>
                <w:color w:val="auto"/>
                <w:sz w:val="22"/>
                <w:szCs w:val="22"/>
                <w:lang w:eastAsia="zh-CN"/>
              </w:rPr>
              <w:t>山东省农民工工资支付监管平台，并及时录入维护有关信息。</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10</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规范落实工程款支付担保制度，不存在建设单位未提供工程款支付担保、担保方式不合规范等问题。</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1</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规范落实工资保证金制度，不存在工资保证金应缴未缴、应退未退，保函、保险超期未续等问题。</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2</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规范落实农民工工资专用账户制度，不存在未</w:t>
            </w:r>
            <w:r>
              <w:rPr>
                <w:rFonts w:hint="eastAsia" w:ascii="仿宋_GB2312" w:hAnsi="仿宋_GB2312" w:eastAsia="仿宋_GB2312" w:cs="Times New Roman"/>
                <w:color w:val="auto"/>
                <w:sz w:val="22"/>
                <w:szCs w:val="22"/>
                <w:lang w:eastAsia="zh-CN"/>
              </w:rPr>
              <w:t>规范</w:t>
            </w:r>
            <w:r>
              <w:rPr>
                <w:rFonts w:hint="default" w:ascii="仿宋_GB2312" w:hAnsi="仿宋_GB2312" w:eastAsia="仿宋_GB2312" w:cs="Times New Roman"/>
                <w:color w:val="auto"/>
                <w:sz w:val="22"/>
                <w:szCs w:val="22"/>
              </w:rPr>
              <w:t>开设专用账户、专用账户管理不规范等</w:t>
            </w:r>
            <w:r>
              <w:rPr>
                <w:rFonts w:hint="eastAsia" w:ascii="仿宋_GB2312" w:hAnsi="仿宋_GB2312" w:eastAsia="仿宋_GB2312" w:cs="Times New Roman"/>
                <w:color w:val="auto"/>
                <w:sz w:val="22"/>
                <w:szCs w:val="22"/>
                <w:lang w:eastAsia="zh-CN"/>
              </w:rPr>
              <w:t>问题</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行业</w:t>
            </w:r>
            <w:r>
              <w:rPr>
                <w:rFonts w:hint="default" w:ascii="仿宋_GB2312" w:hAnsi="仿宋_GB2312" w:eastAsia="仿宋_GB2312" w:cs="Times New Roman"/>
                <w:color w:val="auto"/>
                <w:sz w:val="22"/>
                <w:szCs w:val="22"/>
              </w:rPr>
              <w:t>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3</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规范落实维权信息公示制度，不存在未设立维权信息告示牌、维权信息告示牌内容不全等问题。</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3</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kern w:val="2"/>
                <w:sz w:val="22"/>
                <w:szCs w:val="22"/>
                <w:lang w:val="en-US" w:eastAsia="zh-CN" w:bidi="ar-SA"/>
              </w:rPr>
            </w:pPr>
            <w:r>
              <w:rPr>
                <w:rFonts w:hint="eastAsia" w:ascii="仿宋_GB2312" w:hAnsi="仿宋_GB2312" w:eastAsia="黑体" w:cs="Times New Roman"/>
                <w:color w:val="auto"/>
                <w:kern w:val="2"/>
                <w:sz w:val="22"/>
                <w:szCs w:val="22"/>
                <w:lang w:val="en-US" w:eastAsia="zh-CN" w:bidi="ar-SA"/>
              </w:rPr>
              <w:t>14</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总包单位与分包单位订立的书面分包合同中，约定工程款计量周期、工程款进度结算办法等内容。</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2</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5</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eastAsia="zh-CN"/>
              </w:rPr>
              <w:t>签订工资委托支付协议。</w:t>
            </w:r>
            <w:r>
              <w:rPr>
                <w:rFonts w:hint="default" w:ascii="仿宋_GB2312" w:hAnsi="仿宋_GB2312" w:eastAsia="仿宋_GB2312" w:cs="Times New Roman"/>
                <w:color w:val="auto"/>
                <w:sz w:val="22"/>
                <w:szCs w:val="22"/>
              </w:rPr>
              <w:t>规范落实总包单位代发工资制度。</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1</w:t>
            </w:r>
            <w:r>
              <w:rPr>
                <w:rFonts w:hint="eastAsia" w:ascii="仿宋_GB2312" w:hAnsi="仿宋_GB2312" w:eastAsia="仿宋_GB2312" w:cs="Times New Roman"/>
                <w:color w:val="auto"/>
                <w:sz w:val="22"/>
                <w:szCs w:val="22"/>
                <w:lang w:val="en-US" w:eastAsia="zh-CN"/>
              </w:rPr>
              <w:t>6</w:t>
            </w:r>
          </w:p>
        </w:tc>
        <w:tc>
          <w:tcPr>
            <w:tcW w:w="6212" w:type="dxa"/>
            <w:gridSpan w:val="4"/>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规范落实实名制管理制度，未进行实名制</w:t>
            </w:r>
            <w:r>
              <w:rPr>
                <w:rFonts w:hint="eastAsia" w:ascii="仿宋_GB2312" w:hAnsi="仿宋_GB2312" w:eastAsia="仿宋_GB2312" w:cs="Times New Roman"/>
                <w:color w:val="auto"/>
                <w:sz w:val="22"/>
                <w:szCs w:val="22"/>
                <w:lang w:eastAsia="zh-CN"/>
              </w:rPr>
              <w:t>登记</w:t>
            </w:r>
            <w:r>
              <w:rPr>
                <w:rFonts w:hint="default" w:ascii="仿宋_GB2312" w:hAnsi="仿宋_GB2312" w:eastAsia="仿宋_GB2312" w:cs="Times New Roman"/>
                <w:color w:val="auto"/>
                <w:sz w:val="22"/>
                <w:szCs w:val="22"/>
              </w:rPr>
              <w:t>考勤管理等</w:t>
            </w:r>
            <w:r>
              <w:rPr>
                <w:rFonts w:hint="eastAsia" w:ascii="仿宋_GB2312" w:hAnsi="仿宋_GB2312" w:eastAsia="仿宋_GB2312" w:cs="Times New Roman"/>
                <w:color w:val="auto"/>
                <w:sz w:val="22"/>
                <w:szCs w:val="22"/>
                <w:lang w:eastAsia="zh-CN"/>
              </w:rPr>
              <w:t>问题</w:t>
            </w:r>
            <w:r>
              <w:rPr>
                <w:rFonts w:hint="default" w:ascii="仿宋_GB2312" w:hAnsi="仿宋_GB2312" w:eastAsia="仿宋_GB2312" w:cs="Times New Roman"/>
                <w:color w:val="auto"/>
                <w:sz w:val="22"/>
                <w:szCs w:val="22"/>
              </w:rPr>
              <w:t>。</w:t>
            </w:r>
          </w:p>
        </w:tc>
        <w:tc>
          <w:tcPr>
            <w:tcW w:w="61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4</w:t>
            </w:r>
          </w:p>
        </w:tc>
        <w:tc>
          <w:tcPr>
            <w:tcW w:w="1125"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tcBorders>
              <w:bottom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17</w:t>
            </w:r>
          </w:p>
        </w:tc>
        <w:tc>
          <w:tcPr>
            <w:tcW w:w="6212" w:type="dxa"/>
            <w:gridSpan w:val="4"/>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Times New Roman"/>
                <w:color w:val="auto"/>
                <w:sz w:val="22"/>
                <w:szCs w:val="22"/>
                <w:lang w:eastAsia="zh-CN"/>
              </w:rPr>
            </w:pPr>
            <w:r>
              <w:rPr>
                <w:rFonts w:hint="default" w:ascii="仿宋_GB2312" w:hAnsi="仿宋_GB2312" w:eastAsia="仿宋_GB2312" w:cs="Times New Roman"/>
                <w:color w:val="auto"/>
                <w:sz w:val="22"/>
                <w:szCs w:val="22"/>
              </w:rPr>
              <w:t>农民工进场</w:t>
            </w:r>
            <w:r>
              <w:rPr>
                <w:rFonts w:hint="eastAsia" w:ascii="仿宋_GB2312" w:hAnsi="仿宋_GB2312" w:eastAsia="仿宋_GB2312" w:cs="Times New Roman"/>
                <w:color w:val="auto"/>
                <w:sz w:val="22"/>
                <w:szCs w:val="22"/>
                <w:lang w:eastAsia="zh-CN"/>
              </w:rPr>
              <w:t>按规范</w:t>
            </w:r>
            <w:r>
              <w:rPr>
                <w:rFonts w:hint="default" w:ascii="仿宋_GB2312" w:hAnsi="仿宋_GB2312" w:eastAsia="仿宋_GB2312" w:cs="Times New Roman"/>
                <w:color w:val="auto"/>
                <w:sz w:val="22"/>
                <w:szCs w:val="22"/>
              </w:rPr>
              <w:t>签订劳动合同（或书面用工协议）</w:t>
            </w:r>
          </w:p>
        </w:tc>
        <w:tc>
          <w:tcPr>
            <w:tcW w:w="61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3</w:t>
            </w:r>
          </w:p>
        </w:tc>
        <w:tc>
          <w:tcPr>
            <w:tcW w:w="1125"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tc>
        <w:tc>
          <w:tcPr>
            <w:tcW w:w="779" w:type="dxa"/>
            <w:tcBorders>
              <w:top w:val="single" w:color="auto" w:sz="4" w:space="0"/>
            </w:tcBorders>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18</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eastAsia"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无违法发包、转包、违法分包、挂靠等违法违规行为。</w:t>
            </w:r>
            <w:r>
              <w:rPr>
                <w:rFonts w:hint="eastAsia" w:ascii="仿宋_GB2312" w:hAnsi="仿宋_GB2312" w:eastAsia="仿宋_GB2312" w:cs="Times New Roman"/>
                <w:color w:val="auto"/>
                <w:sz w:val="22"/>
                <w:szCs w:val="22"/>
                <w:lang w:eastAsia="zh-CN"/>
              </w:rPr>
              <w:t>施工日志、监理日志、监理例会纪要等按规定准确记录。</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1525"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sz w:val="22"/>
                <w:szCs w:val="22"/>
                <w:lang w:val="en-US" w:eastAsia="zh-CN"/>
              </w:rPr>
              <w:t>19</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建设单位按工程施工合同约定计量周期或工程进度进行计算并支付工程款，其中政府机关、事业单位、国有企业建设工程进度款支付应不低于已完成工程价款的80%，不存在延期工程结算、拖欠工程款等行为。</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eastAsia" w:ascii="仿宋_GB2312" w:hAnsi="仿宋_GB2312" w:eastAsia="仿宋_GB2312" w:cs="Times New Roman"/>
                <w:color w:val="auto"/>
                <w:kern w:val="2"/>
                <w:sz w:val="22"/>
                <w:szCs w:val="22"/>
                <w:lang w:val="en-US" w:eastAsia="zh-CN" w:bidi="ar-SA"/>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kern w:val="2"/>
                <w:sz w:val="22"/>
                <w:szCs w:val="22"/>
                <w:lang w:val="en-US" w:eastAsia="zh-CN" w:bidi="ar-SA"/>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71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20</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建设单位按月及时足额拨付向农民工工资专用账户拨付人工费用。人工费用拨付不得违反有关规定。</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109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21</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编制工资支付表。按月准确编制农民工工资支付表，经农民工本人签字确认，加盖总包单位公章，按规定上传省农民工工资支付监管平台，并在维权信息告示牌公示。</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eastAsia="zh-CN"/>
              </w:rPr>
              <w:t>人社部门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22</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eastAsia="zh-CN"/>
              </w:rPr>
              <w:t>严格退场管理。农民工离退场的，及时结清工资，并签署退场工资（结清）确认书。</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4</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454"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23</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配合行政部门调查、核实欠薪案件线索</w:t>
            </w:r>
            <w:r>
              <w:rPr>
                <w:rFonts w:hint="eastAsia" w:ascii="仿宋_GB2312" w:hAnsi="仿宋_GB2312" w:eastAsia="仿宋_GB2312" w:cs="Times New Roman"/>
                <w:color w:val="auto"/>
                <w:sz w:val="22"/>
                <w:szCs w:val="22"/>
                <w:lang w:eastAsia="zh-CN"/>
              </w:rPr>
              <w:t>，不存在经核实确认的欠薪情形</w:t>
            </w:r>
            <w:r>
              <w:rPr>
                <w:rFonts w:hint="default" w:ascii="仿宋_GB2312" w:hAnsi="仿宋_GB2312" w:eastAsia="仿宋_GB2312" w:cs="Times New Roman"/>
                <w:color w:val="auto"/>
                <w:sz w:val="22"/>
                <w:szCs w:val="22"/>
              </w:rPr>
              <w:t>。</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eastAsia="zh-CN"/>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79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default" w:ascii="仿宋_GB2312" w:hAnsi="仿宋_GB2312" w:eastAsia="仿宋_GB2312" w:cs="Times New Roman"/>
                <w:color w:val="auto"/>
                <w:sz w:val="22"/>
                <w:szCs w:val="22"/>
              </w:rPr>
              <w:t>2</w:t>
            </w:r>
            <w:r>
              <w:rPr>
                <w:rFonts w:hint="eastAsia" w:ascii="仿宋_GB2312" w:hAnsi="仿宋_GB2312" w:eastAsia="仿宋_GB2312" w:cs="Times New Roman"/>
                <w:color w:val="auto"/>
                <w:sz w:val="22"/>
                <w:szCs w:val="22"/>
                <w:lang w:val="en-US" w:eastAsia="zh-CN"/>
              </w:rPr>
              <w:t>4</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pacing w:val="-6"/>
                <w:sz w:val="22"/>
                <w:szCs w:val="22"/>
              </w:rPr>
              <w:t>按照《</w:t>
            </w:r>
            <w:r>
              <w:rPr>
                <w:rFonts w:hint="eastAsia" w:ascii="仿宋_GB2312" w:hAnsi="仿宋_GB2312" w:eastAsia="仿宋_GB2312" w:cs="Times New Roman"/>
                <w:color w:val="auto"/>
                <w:spacing w:val="-6"/>
                <w:sz w:val="22"/>
                <w:szCs w:val="22"/>
                <w:lang w:eastAsia="zh-CN"/>
              </w:rPr>
              <w:t>山东</w:t>
            </w:r>
            <w:r>
              <w:rPr>
                <w:rFonts w:hint="default" w:ascii="仿宋_GB2312" w:hAnsi="仿宋_GB2312" w:eastAsia="仿宋_GB2312" w:cs="Times New Roman"/>
                <w:color w:val="auto"/>
                <w:spacing w:val="-6"/>
                <w:sz w:val="22"/>
                <w:szCs w:val="22"/>
              </w:rPr>
              <w:t>省工程建设领域</w:t>
            </w:r>
            <w:r>
              <w:rPr>
                <w:rFonts w:hint="eastAsia" w:ascii="仿宋_GB2312" w:hAnsi="仿宋_GB2312" w:eastAsia="仿宋_GB2312" w:cs="Times New Roman"/>
                <w:color w:val="auto"/>
                <w:spacing w:val="-6"/>
                <w:sz w:val="22"/>
                <w:szCs w:val="22"/>
                <w:lang w:eastAsia="zh-CN"/>
              </w:rPr>
              <w:t>保障农民工工资支付工作</w:t>
            </w:r>
            <w:r>
              <w:rPr>
                <w:rFonts w:hint="default" w:ascii="仿宋_GB2312" w:hAnsi="仿宋_GB2312" w:eastAsia="仿宋_GB2312" w:cs="Times New Roman"/>
                <w:color w:val="auto"/>
                <w:spacing w:val="-6"/>
                <w:sz w:val="22"/>
                <w:szCs w:val="22"/>
              </w:rPr>
              <w:t>指导手册（第一版）》要求，分类归档有关台账资料。</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topLinePunct/>
              <w:spacing w:line="360" w:lineRule="exact"/>
              <w:jc w:val="center"/>
              <w:rPr>
                <w:rFonts w:hint="default" w:ascii="仿宋_GB2312" w:hAnsi="仿宋_GB2312"/>
                <w:color w:val="auto"/>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1120" w:hRule="atLeast"/>
          <w:jc w:val="center"/>
        </w:trPr>
        <w:tc>
          <w:tcPr>
            <w:tcW w:w="5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default" w:ascii="仿宋_GB2312" w:hAnsi="仿宋_GB2312" w:eastAsia="仿宋_GB2312" w:cs="Times New Roman"/>
                <w:color w:val="auto"/>
                <w:sz w:val="22"/>
                <w:szCs w:val="22"/>
              </w:rPr>
              <w:t>2</w:t>
            </w:r>
            <w:r>
              <w:rPr>
                <w:rFonts w:hint="eastAsia" w:ascii="仿宋_GB2312" w:hAnsi="仿宋_GB2312" w:eastAsia="仿宋_GB2312" w:cs="Times New Roman"/>
                <w:color w:val="auto"/>
                <w:sz w:val="22"/>
                <w:szCs w:val="22"/>
                <w:lang w:val="en-US" w:eastAsia="zh-CN"/>
              </w:rPr>
              <w:t>5</w:t>
            </w:r>
          </w:p>
        </w:tc>
        <w:tc>
          <w:tcPr>
            <w:tcW w:w="6212" w:type="dxa"/>
            <w:gridSpan w:val="4"/>
            <w:vAlign w:val="center"/>
          </w:tcPr>
          <w:p>
            <w:pPr>
              <w:keepNext w:val="0"/>
              <w:keepLines w:val="0"/>
              <w:pageBreakBefore w:val="0"/>
              <w:widowControl w:val="0"/>
              <w:kinsoku/>
              <w:wordWrap/>
              <w:overflowPunct/>
              <w:topLinePunct/>
              <w:autoSpaceDE/>
              <w:autoSpaceDN/>
              <w:bidi w:val="0"/>
              <w:adjustRightInd/>
              <w:snapToGrid/>
              <w:spacing w:line="320" w:lineRule="exact"/>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强化欠薪风险监测管控，不存在影响恶劣的欠薪舆情。</w:t>
            </w:r>
          </w:p>
        </w:tc>
        <w:tc>
          <w:tcPr>
            <w:tcW w:w="61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eastAsia" w:ascii="仿宋_GB2312" w:hAnsi="仿宋_GB2312" w:eastAsia="仿宋_GB2312" w:cs="Times New Roman"/>
                <w:color w:val="auto"/>
                <w:sz w:val="22"/>
                <w:szCs w:val="22"/>
                <w:lang w:val="en-US" w:eastAsia="zh-CN"/>
              </w:rPr>
            </w:pPr>
            <w:r>
              <w:rPr>
                <w:rFonts w:hint="eastAsia" w:ascii="仿宋_GB2312" w:hAnsi="仿宋_GB2312" w:eastAsia="仿宋_GB2312" w:cs="Times New Roman"/>
                <w:color w:val="auto"/>
                <w:sz w:val="22"/>
                <w:szCs w:val="22"/>
                <w:lang w:val="en-US" w:eastAsia="zh-CN"/>
              </w:rPr>
              <w:t>5</w:t>
            </w:r>
          </w:p>
        </w:tc>
        <w:tc>
          <w:tcPr>
            <w:tcW w:w="1125" w:type="dxa"/>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人社部门</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行业部门</w:t>
            </w:r>
          </w:p>
        </w:tc>
        <w:tc>
          <w:tcPr>
            <w:tcW w:w="779"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535" w:hRule="atLeast"/>
          <w:jc w:val="center"/>
        </w:trPr>
        <w:tc>
          <w:tcPr>
            <w:tcW w:w="1144"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黑体" w:cs="Times New Roman"/>
                <w:color w:val="auto"/>
                <w:sz w:val="22"/>
                <w:szCs w:val="22"/>
              </w:rPr>
            </w:pPr>
            <w:r>
              <w:rPr>
                <w:rFonts w:hint="default" w:ascii="仿宋_GB2312" w:hAnsi="仿宋_GB2312" w:eastAsia="黑体" w:cs="Times New Roman"/>
                <w:color w:val="auto"/>
                <w:sz w:val="22"/>
                <w:szCs w:val="22"/>
              </w:rPr>
              <w:t>综合得分</w:t>
            </w:r>
          </w:p>
        </w:tc>
        <w:tc>
          <w:tcPr>
            <w:tcW w:w="1235" w:type="dxa"/>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tc>
        <w:tc>
          <w:tcPr>
            <w:tcW w:w="6877" w:type="dxa"/>
            <w:gridSpan w:val="5"/>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r>
              <w:rPr>
                <w:rFonts w:hint="eastAsia" w:ascii="仿宋_GB2312" w:hAnsi="仿宋_GB2312" w:eastAsia="黑体" w:cs="Times New Roman"/>
                <w:color w:val="auto"/>
                <w:sz w:val="22"/>
                <w:szCs w:val="22"/>
                <w:lang w:eastAsia="zh-CN"/>
              </w:rPr>
              <w:t>核查人员</w:t>
            </w:r>
            <w:r>
              <w:rPr>
                <w:rFonts w:hint="default" w:ascii="仿宋_GB2312" w:hAnsi="仿宋_GB2312" w:eastAsia="黑体" w:cs="Times New Roman"/>
                <w:color w:val="auto"/>
                <w:sz w:val="22"/>
                <w:szCs w:val="22"/>
              </w:rPr>
              <w:t xml:space="preserve">签字    </w:t>
            </w:r>
            <w:r>
              <w:rPr>
                <w:rFonts w:hint="default" w:ascii="仿宋_GB2312" w:hAnsi="仿宋_GB2312" w:eastAsia="仿宋_GB2312" w:cs="Times New Roman"/>
                <w:color w:val="auto"/>
                <w:sz w:val="22"/>
                <w:szCs w:val="22"/>
              </w:rPr>
              <w:t>人社部门：           行业主管部门：</w:t>
            </w:r>
          </w:p>
        </w:tc>
      </w:tr>
      <w:tr>
        <w:tblPrEx>
          <w:tblBorders>
            <w:top w:val="single" w:color="auto" w:sz="12" w:space="0"/>
            <w:left w:val="single" w:color="auto" w:sz="12" w:space="0"/>
            <w:bottom w:val="single" w:color="auto" w:sz="12" w:space="0"/>
            <w:right w:val="single" w:color="auto" w:sz="12" w:space="0"/>
            <w:insideH w:val="single" w:color="auto" w:sz="8" w:space="0"/>
            <w:insideV w:val="single" w:color="auto" w:sz="8" w:space="0"/>
          </w:tblBorders>
          <w:tblLayout w:type="fixed"/>
          <w:tblCellMar>
            <w:top w:w="0" w:type="dxa"/>
            <w:left w:w="57" w:type="dxa"/>
            <w:bottom w:w="0" w:type="dxa"/>
            <w:right w:w="57" w:type="dxa"/>
          </w:tblCellMar>
        </w:tblPrEx>
        <w:trPr>
          <w:trHeight w:val="340" w:hRule="atLeast"/>
          <w:jc w:val="center"/>
        </w:trPr>
        <w:tc>
          <w:tcPr>
            <w:tcW w:w="1144"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eastAsia" w:ascii="仿宋_GB2312" w:hAnsi="仿宋_GB2312" w:eastAsia="黑体" w:cs="Times New Roman"/>
                <w:color w:val="auto"/>
                <w:sz w:val="22"/>
                <w:szCs w:val="22"/>
                <w:lang w:eastAsia="zh-CN"/>
              </w:rPr>
              <w:t>部门</w:t>
            </w:r>
            <w:r>
              <w:rPr>
                <w:rFonts w:hint="default" w:ascii="仿宋_GB2312" w:hAnsi="仿宋_GB2312" w:eastAsia="黑体" w:cs="Times New Roman"/>
                <w:color w:val="auto"/>
                <w:sz w:val="22"/>
                <w:szCs w:val="22"/>
              </w:rPr>
              <w:t>意见</w:t>
            </w:r>
          </w:p>
        </w:tc>
        <w:tc>
          <w:tcPr>
            <w:tcW w:w="4039" w:type="dxa"/>
            <w:gridSpan w:val="2"/>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ind w:firstLine="756" w:firstLineChars="350"/>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人力资源社会保障部门（盖  章）</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年   月   日</w:t>
            </w:r>
          </w:p>
        </w:tc>
        <w:tc>
          <w:tcPr>
            <w:tcW w:w="4073" w:type="dxa"/>
            <w:gridSpan w:val="4"/>
            <w:vAlign w:val="center"/>
          </w:tcPr>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textAlignment w:val="auto"/>
              <w:rPr>
                <w:rFonts w:hint="default" w:ascii="仿宋_GB2312" w:hAnsi="仿宋_GB2312" w:eastAsia="仿宋_GB2312" w:cs="Times New Roman"/>
                <w:color w:val="auto"/>
                <w:sz w:val="22"/>
                <w:szCs w:val="22"/>
              </w:rPr>
            </w:pP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行业工程建设主管部门（盖  章）</w:t>
            </w:r>
          </w:p>
          <w:p>
            <w:pPr>
              <w:keepNext w:val="0"/>
              <w:keepLines w:val="0"/>
              <w:pageBreakBefore w:val="0"/>
              <w:widowControl w:val="0"/>
              <w:kinsoku/>
              <w:wordWrap/>
              <w:overflowPunct/>
              <w:topLinePunct/>
              <w:autoSpaceDE/>
              <w:autoSpaceDN/>
              <w:bidi w:val="0"/>
              <w:adjustRightInd/>
              <w:snapToGrid/>
              <w:spacing w:line="360" w:lineRule="exact"/>
              <w:jc w:val="center"/>
              <w:textAlignment w:val="auto"/>
              <w:rPr>
                <w:rFonts w:hint="default" w:ascii="仿宋_GB2312" w:hAnsi="仿宋_GB2312" w:eastAsia="仿宋_GB2312" w:cs="Times New Roman"/>
                <w:color w:val="auto"/>
                <w:sz w:val="22"/>
                <w:szCs w:val="22"/>
              </w:rPr>
            </w:pPr>
            <w:r>
              <w:rPr>
                <w:rFonts w:hint="default" w:ascii="仿宋_GB2312" w:hAnsi="仿宋_GB2312" w:eastAsia="仿宋_GB2312" w:cs="Times New Roman"/>
                <w:color w:val="auto"/>
                <w:sz w:val="22"/>
                <w:szCs w:val="22"/>
              </w:rPr>
              <w:t>年   月   日</w:t>
            </w:r>
          </w:p>
        </w:tc>
      </w:tr>
    </w:tbl>
    <w:p>
      <w:pPr>
        <w:spacing w:line="20" w:lineRule="exact"/>
        <w:rPr>
          <w:rFonts w:ascii="仿宋_GB2312" w:hAnsi="仿宋_GB2312"/>
          <w:color w:val="auto"/>
        </w:rPr>
      </w:pPr>
    </w:p>
    <w:p>
      <w:pPr>
        <w:pStyle w:val="4"/>
        <w:ind w:left="0"/>
        <w:rPr>
          <w:rFonts w:hint="default" w:ascii="仿宋_GB2312" w:hAnsi="仿宋_GB2312" w:eastAsia="黑体" w:cs="Times New Roman"/>
          <w:color w:val="auto"/>
          <w:sz w:val="32"/>
          <w:szCs w:val="32"/>
        </w:rPr>
        <w:sectPr>
          <w:footerReference r:id="rId3" w:type="default"/>
          <w:footerReference r:id="rId4" w:type="even"/>
          <w:pgSz w:w="11906" w:h="16838"/>
          <w:pgMar w:top="2098" w:right="1531" w:bottom="1814" w:left="1531" w:header="851" w:footer="1587" w:gutter="0"/>
          <w:pgNumType w:fmt="decimal"/>
          <w:cols w:space="0" w:num="1"/>
          <w:titlePg/>
          <w:rtlGutter w:val="0"/>
          <w:docGrid w:type="linesAndChars" w:linePitch="585" w:charSpace="-849"/>
        </w:sect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left"/>
        <w:textAlignment w:val="auto"/>
        <w:rPr>
          <w:rFonts w:hint="eastAsia" w:ascii="仿宋_GB2312" w:hAnsi="仿宋_GB2312" w:eastAsia="黑体" w:cs="Times New Roman"/>
          <w:color w:val="auto"/>
          <w:sz w:val="32"/>
          <w:szCs w:val="32"/>
          <w:lang w:val="en-US" w:eastAsia="zh-CN"/>
        </w:rPr>
      </w:pPr>
      <w:r>
        <w:rPr>
          <w:rFonts w:hint="default" w:ascii="仿宋_GB2312" w:hAnsi="仿宋_GB2312" w:eastAsia="黑体" w:cs="Times New Roman"/>
          <w:color w:val="auto"/>
          <w:sz w:val="32"/>
          <w:szCs w:val="32"/>
        </w:rPr>
        <w:t>附件</w:t>
      </w:r>
      <w:r>
        <w:rPr>
          <w:rFonts w:hint="eastAsia" w:ascii="黑体" w:hAnsi="黑体" w:eastAsia="黑体" w:cs="黑体"/>
          <w:color w:val="auto"/>
          <w:sz w:val="32"/>
          <w:szCs w:val="32"/>
          <w:lang w:val="en-US" w:eastAsia="zh-CN"/>
        </w:rPr>
        <w:t>2</w:t>
      </w:r>
    </w:p>
    <w:p>
      <w:pPr>
        <w:pStyle w:val="2"/>
        <w:keepNext w:val="0"/>
        <w:keepLines w:val="0"/>
        <w:pageBreakBefore w:val="0"/>
        <w:widowControl w:val="0"/>
        <w:kinsoku/>
        <w:wordWrap/>
        <w:overflowPunct/>
        <w:topLinePunct w:val="0"/>
        <w:autoSpaceDE/>
        <w:autoSpaceDN/>
        <w:bidi w:val="0"/>
        <w:spacing w:after="0" w:afterLines="0" w:line="560" w:lineRule="exact"/>
        <w:ind w:left="0" w:leftChars="0"/>
        <w:textAlignment w:val="auto"/>
        <w:rPr>
          <w:rFonts w:hint="default" w:ascii="仿宋_GB2312" w:hAnsi="仿宋_GB2312"/>
          <w:color w:val="auto"/>
        </w:rPr>
      </w:pP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0" w:firstLineChars="0"/>
        <w:jc w:val="center"/>
        <w:textAlignment w:val="auto"/>
        <w:rPr>
          <w:rFonts w:hint="eastAsia" w:ascii="仿宋_GB2312" w:hAnsi="仿宋_GB2312" w:eastAsia="方正小标宋简体" w:cs="方正小标宋简体"/>
          <w:color w:val="auto"/>
          <w:sz w:val="44"/>
          <w:szCs w:val="44"/>
        </w:rPr>
      </w:pPr>
      <w:r>
        <w:rPr>
          <w:rFonts w:hint="eastAsia" w:ascii="仿宋_GB2312" w:hAnsi="仿宋_GB2312" w:eastAsia="方正小标宋简体" w:cs="方正小标宋简体"/>
          <w:color w:val="auto"/>
          <w:sz w:val="44"/>
          <w:szCs w:val="44"/>
          <w:lang w:eastAsia="zh-CN"/>
        </w:rPr>
        <w:t>“安薪项目”培育活动</w:t>
      </w:r>
      <w:r>
        <w:rPr>
          <w:rFonts w:hint="eastAsia" w:ascii="仿宋_GB2312" w:hAnsi="仿宋_GB2312" w:eastAsia="方正小标宋简体" w:cs="方正小标宋简体"/>
          <w:color w:val="auto"/>
          <w:sz w:val="44"/>
          <w:szCs w:val="44"/>
        </w:rPr>
        <w:t>进展情况表</w:t>
      </w:r>
    </w:p>
    <w:p>
      <w:pPr>
        <w:pStyle w:val="2"/>
        <w:rPr>
          <w:rFonts w:hint="eastAsia" w:ascii="仿宋_GB2312" w:hAnsi="仿宋_GB2312"/>
          <w:color w:val="auto"/>
        </w:rPr>
      </w:pP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 xml:space="preserve">填报单位：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w:t>
      </w:r>
      <w:r>
        <w:rPr>
          <w:rFonts w:hint="eastAsia" w:ascii="仿宋_GB2312" w:hAnsi="仿宋_GB2312" w:eastAsia="仿宋_GB2312" w:cs="仿宋_GB2312"/>
          <w:color w:val="auto"/>
          <w:sz w:val="28"/>
          <w:szCs w:val="28"/>
          <w:lang w:val="en-US" w:eastAsia="zh-CN"/>
        </w:rPr>
        <w:t xml:space="preserve">           </w:t>
      </w:r>
      <w:r>
        <w:rPr>
          <w:rFonts w:hint="eastAsia" w:ascii="仿宋_GB2312" w:hAnsi="仿宋_GB2312" w:eastAsia="仿宋_GB2312" w:cs="仿宋_GB2312"/>
          <w:color w:val="auto"/>
          <w:sz w:val="28"/>
          <w:szCs w:val="28"/>
        </w:rPr>
        <w:t xml:space="preserve"> 填报日期：      年   月   日</w:t>
      </w:r>
    </w:p>
    <w:tbl>
      <w:tblPr>
        <w:tblStyle w:val="12"/>
        <w:tblW w:w="13137"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1"/>
        <w:gridCol w:w="1525"/>
        <w:gridCol w:w="1985"/>
        <w:gridCol w:w="1659"/>
        <w:gridCol w:w="2077"/>
        <w:gridCol w:w="2240"/>
        <w:gridCol w:w="22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3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rPr>
              <w:t>在建工程</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rPr>
              <w:t>项目数量</w:t>
            </w: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rPr>
              <w:t>纳入</w:t>
            </w:r>
            <w:r>
              <w:rPr>
                <w:rFonts w:hint="eastAsia" w:ascii="仿宋_GB2312" w:hAnsi="仿宋_GB2312" w:eastAsia="黑体" w:cs="黑体"/>
                <w:color w:val="auto"/>
                <w:sz w:val="28"/>
                <w:szCs w:val="28"/>
                <w:lang w:eastAsia="zh-CN"/>
              </w:rPr>
              <w:t>省监管</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lang w:eastAsia="zh-CN"/>
              </w:rPr>
              <w:t>平台</w:t>
            </w:r>
            <w:r>
              <w:rPr>
                <w:rFonts w:hint="eastAsia" w:ascii="仿宋_GB2312" w:hAnsi="仿宋_GB2312" w:eastAsia="黑体" w:cs="黑体"/>
                <w:color w:val="auto"/>
                <w:sz w:val="28"/>
                <w:szCs w:val="28"/>
              </w:rPr>
              <w:t>项目数量</w:t>
            </w: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lang w:eastAsia="zh-CN"/>
              </w:rPr>
              <w:t>培育</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eastAsia" w:ascii="仿宋_GB2312" w:hAnsi="仿宋_GB2312" w:eastAsia="黑体" w:cs="黑体"/>
                <w:color w:val="auto"/>
                <w:sz w:val="28"/>
                <w:szCs w:val="28"/>
              </w:rPr>
              <w:t>项目数量</w:t>
            </w: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lang w:eastAsia="zh-CN"/>
              </w:rPr>
              <w:t>“安薪项目”</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lang w:eastAsia="zh-CN"/>
              </w:rPr>
            </w:pPr>
            <w:r>
              <w:rPr>
                <w:rFonts w:hint="eastAsia" w:ascii="仿宋_GB2312" w:hAnsi="仿宋_GB2312" w:eastAsia="黑体" w:cs="黑体"/>
                <w:color w:val="auto"/>
                <w:sz w:val="28"/>
                <w:szCs w:val="28"/>
                <w:lang w:eastAsia="zh-CN"/>
              </w:rPr>
              <w:t>数量</w:t>
            </w: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default" w:ascii="仿宋_GB2312" w:hAnsi="仿宋_GB2312" w:eastAsia="黑体" w:cs="黑体"/>
                <w:color w:val="auto"/>
                <w:sz w:val="28"/>
                <w:szCs w:val="28"/>
                <w:lang w:eastAsia="zh-CN"/>
              </w:rPr>
            </w:pPr>
            <w:r>
              <w:rPr>
                <w:rFonts w:hint="default" w:ascii="仿宋_GB2312" w:hAnsi="仿宋_GB2312" w:eastAsia="黑体" w:cs="黑体"/>
                <w:color w:val="auto"/>
                <w:sz w:val="28"/>
                <w:szCs w:val="28"/>
                <w:lang w:eastAsia="zh-CN"/>
              </w:rPr>
              <w:t>“优质安薪项目”数量</w:t>
            </w: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default" w:ascii="仿宋_GB2312" w:hAnsi="仿宋_GB2312" w:eastAsia="黑体" w:cs="黑体"/>
                <w:color w:val="auto"/>
                <w:spacing w:val="0"/>
                <w:sz w:val="28"/>
                <w:szCs w:val="28"/>
              </w:rPr>
            </w:pPr>
            <w:r>
              <w:rPr>
                <w:rFonts w:hint="eastAsia" w:ascii="仿宋_GB2312" w:hAnsi="仿宋_GB2312" w:eastAsia="黑体" w:cs="黑体"/>
                <w:color w:val="auto"/>
                <w:spacing w:val="0"/>
                <w:sz w:val="28"/>
                <w:szCs w:val="28"/>
              </w:rPr>
              <w:t>退出</w:t>
            </w:r>
            <w:r>
              <w:rPr>
                <w:rFonts w:hint="default" w:ascii="仿宋_GB2312" w:hAnsi="仿宋_GB2312" w:eastAsia="黑体" w:cs="黑体"/>
                <w:color w:val="auto"/>
                <w:spacing w:val="0"/>
                <w:sz w:val="28"/>
                <w:szCs w:val="28"/>
              </w:rPr>
              <w:t>“安薪</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黑体" w:cs="黑体"/>
                <w:color w:val="auto"/>
                <w:sz w:val="28"/>
                <w:szCs w:val="28"/>
              </w:rPr>
            </w:pPr>
            <w:r>
              <w:rPr>
                <w:rFonts w:hint="default" w:ascii="仿宋_GB2312" w:hAnsi="仿宋_GB2312" w:eastAsia="黑体" w:cs="黑体"/>
                <w:color w:val="auto"/>
                <w:spacing w:val="0"/>
                <w:sz w:val="28"/>
                <w:szCs w:val="28"/>
              </w:rPr>
              <w:t>项目”</w:t>
            </w:r>
            <w:r>
              <w:rPr>
                <w:rFonts w:hint="eastAsia" w:ascii="仿宋_GB2312" w:hAnsi="仿宋_GB2312" w:eastAsia="黑体" w:cs="黑体"/>
                <w:color w:val="auto"/>
                <w:sz w:val="28"/>
                <w:szCs w:val="28"/>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住  建</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6"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交  通</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水  利</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lang w:eastAsia="zh-CN"/>
              </w:rPr>
            </w:pPr>
            <w:r>
              <w:rPr>
                <w:rFonts w:hint="eastAsia" w:ascii="仿宋_GB2312" w:hAnsi="仿宋_GB2312" w:eastAsia="仿宋_GB2312" w:cs="仿宋_GB2312"/>
                <w:color w:val="auto"/>
                <w:sz w:val="28"/>
                <w:szCs w:val="28"/>
                <w:lang w:eastAsia="zh-CN"/>
              </w:rPr>
              <w:t>……</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atLeast"/>
          <w:jc w:val="center"/>
        </w:trPr>
        <w:tc>
          <w:tcPr>
            <w:tcW w:w="1441"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合  计</w:t>
            </w:r>
          </w:p>
        </w:tc>
        <w:tc>
          <w:tcPr>
            <w:tcW w:w="152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985"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1659"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077"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c>
          <w:tcPr>
            <w:tcW w:w="224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left="0" w:leftChars="0" w:firstLine="0" w:firstLineChars="0"/>
              <w:jc w:val="center"/>
              <w:textAlignment w:val="auto"/>
              <w:rPr>
                <w:rFonts w:hint="eastAsia" w:ascii="仿宋_GB2312" w:hAnsi="仿宋_GB2312" w:eastAsia="仿宋_GB2312" w:cs="仿宋_GB2312"/>
                <w:color w:val="auto"/>
                <w:sz w:val="28"/>
                <w:szCs w:val="28"/>
              </w:rPr>
            </w:pPr>
          </w:p>
        </w:tc>
        <w:tc>
          <w:tcPr>
            <w:tcW w:w="2210" w:type="dxa"/>
            <w:vAlign w:val="center"/>
          </w:tcPr>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jc w:val="center"/>
              <w:textAlignment w:val="auto"/>
              <w:rPr>
                <w:rFonts w:hint="eastAsia" w:ascii="仿宋_GB2312" w:hAnsi="仿宋_GB2312" w:eastAsia="仿宋_GB2312" w:cs="仿宋_GB2312"/>
                <w:color w:val="auto"/>
                <w:sz w:val="28"/>
                <w:szCs w:val="28"/>
              </w:rPr>
            </w:pPr>
          </w:p>
        </w:tc>
      </w:tr>
    </w:tbl>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eastAsia="仿宋_GB2312" w:cs="仿宋_GB2312"/>
          <w:color w:val="auto"/>
          <w:sz w:val="28"/>
          <w:szCs w:val="28"/>
        </w:rPr>
      </w:pPr>
      <w:r>
        <w:rPr>
          <w:rFonts w:hint="eastAsia" w:ascii="仿宋_GB2312" w:hAnsi="仿宋_GB2312" w:eastAsia="仿宋_GB2312" w:cs="仿宋_GB2312"/>
          <w:color w:val="auto"/>
          <w:sz w:val="28"/>
          <w:szCs w:val="28"/>
        </w:rPr>
        <w:t>单位负责人（签字）：               填报人（签字）：             联系电话：</w:t>
      </w:r>
    </w:p>
    <w:p>
      <w:pPr>
        <w:keepNext w:val="0"/>
        <w:keepLines w:val="0"/>
        <w:pageBreakBefore w:val="0"/>
        <w:widowControl w:val="0"/>
        <w:kinsoku/>
        <w:wordWrap/>
        <w:overflowPunct/>
        <w:topLinePunct w:val="0"/>
        <w:autoSpaceDE/>
        <w:autoSpaceDN/>
        <w:bidi w:val="0"/>
        <w:adjustRightInd w:val="0"/>
        <w:snapToGrid w:val="0"/>
        <w:spacing w:line="580" w:lineRule="exact"/>
        <w:ind w:firstLine="0" w:firstLineChars="0"/>
        <w:textAlignment w:val="auto"/>
        <w:rPr>
          <w:rFonts w:hint="eastAsia" w:ascii="仿宋_GB2312" w:hAnsi="仿宋_GB2312"/>
          <w:color w:val="auto"/>
          <w:sz w:val="28"/>
          <w:szCs w:val="28"/>
        </w:rPr>
      </w:pPr>
      <w:r>
        <w:rPr>
          <w:rFonts w:hint="eastAsia" w:ascii="仿宋_GB2312" w:hAnsi="仿宋_GB2312" w:eastAsia="仿宋_GB2312" w:cs="仿宋_GB2312"/>
          <w:color w:val="auto"/>
          <w:sz w:val="28"/>
          <w:szCs w:val="28"/>
        </w:rPr>
        <w:t>说明：本表仅统计在建工程项目情况，如项目</w:t>
      </w:r>
      <w:r>
        <w:rPr>
          <w:rFonts w:hint="eastAsia" w:ascii="仿宋_GB2312" w:hAnsi="仿宋_GB2312" w:eastAsia="仿宋_GB2312" w:cs="仿宋_GB2312"/>
          <w:color w:val="auto"/>
          <w:sz w:val="28"/>
          <w:szCs w:val="28"/>
          <w:lang w:eastAsia="zh-CN"/>
        </w:rPr>
        <w:t>长期</w:t>
      </w:r>
      <w:r>
        <w:rPr>
          <w:rFonts w:hint="eastAsia" w:ascii="仿宋_GB2312" w:hAnsi="仿宋_GB2312" w:eastAsia="仿宋_GB2312" w:cs="仿宋_GB2312"/>
          <w:color w:val="auto"/>
          <w:sz w:val="28"/>
          <w:szCs w:val="28"/>
        </w:rPr>
        <w:t>停工或已完工，不纳入统计范围。本表每季度上报一次。</w:t>
      </w:r>
    </w:p>
    <w:bookmarkEnd w:id="0"/>
    <w:sectPr>
      <w:headerReference r:id="rId5" w:type="default"/>
      <w:footerReference r:id="rId6" w:type="default"/>
      <w:pgSz w:w="16838" w:h="11906" w:orient="landscape"/>
      <w:pgMar w:top="1701" w:right="2098" w:bottom="1701" w:left="1814" w:header="851" w:footer="1304"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aqKiq4BAABLAwAADgAAAGRycy9lMm9Eb2MueG1srVPNThsxEL5X4h0s&#10;34mXI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RqoqKrgEAAEsD&#10;AAAOAAAAAAAAAAEAIAAAAB4BAABkcnMvZTJvRG9jLnhtbFBLBQYAAAAABgAGAFkBAAA+BQAAAAA=&#10;">
              <v:fill on="f" focussize="0,0"/>
              <v:stroke on="f"/>
              <v:imagedata o:title=""/>
              <o:lock v:ext="edit" aspectratio="f"/>
              <v:textbox inset="0mm,0mm,0mm,0mm" style="mso-fit-shape-to-text:t;">
                <w:txbxContent>
                  <w:p>
                    <w:pPr>
                      <w:pStyle w:val="6"/>
                      <w:keepNext w:val="0"/>
                      <w:keepLines w:val="0"/>
                      <w:pageBreakBefore w:val="0"/>
                      <w:widowControl w:val="0"/>
                      <w:kinsoku/>
                      <w:wordWrap/>
                      <w:overflowPunct/>
                      <w:topLinePunct w:val="0"/>
                      <w:bidi w:val="0"/>
                      <w:adjustRightInd/>
                      <w:snapToGrid w:val="0"/>
                      <w:ind w:left="320" w:leftChars="100" w:right="320" w:rightChars="100"/>
                      <w:textAlignment w:val="auto"/>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framePr w:wrap="around" w:vAnchor="text" w:hAnchor="margin" w:xAlign="right" w:y="1"/>
      <w:snapToGrid w:val="0"/>
      <w:jc w:val="left"/>
      <w:rPr>
        <w:rStyle w:val="10"/>
        <w:rFonts w:ascii="Times New Roman" w:hAnsi="Times New Roman"/>
        <w:sz w:val="18"/>
        <w:szCs w:val="18"/>
      </w:rPr>
    </w:pPr>
    <w:r>
      <w:rPr>
        <w:rFonts w:ascii="Times New Roman" w:hAnsi="Times New Roman"/>
        <w:sz w:val="18"/>
        <w:szCs w:val="18"/>
      </w:rPr>
      <w:fldChar w:fldCharType="begin"/>
    </w:r>
    <w:r>
      <w:rPr>
        <w:rStyle w:val="10"/>
        <w:rFonts w:ascii="Times New Roman" w:hAnsi="Times New Roman"/>
        <w:sz w:val="18"/>
        <w:szCs w:val="18"/>
      </w:rPr>
      <w:instrText xml:space="preserve">PAGE  </w:instrText>
    </w:r>
    <w:r>
      <w:rPr>
        <w:rFonts w:ascii="Times New Roman" w:hAnsi="Times New Roman"/>
        <w:sz w:val="18"/>
        <w:szCs w:val="18"/>
      </w:rPr>
      <w:fldChar w:fldCharType="end"/>
    </w:r>
  </w:p>
  <w:p>
    <w:pPr>
      <w:snapToGrid w:val="0"/>
      <w:ind w:right="360"/>
      <w:jc w:val="left"/>
      <w:rPr>
        <w:rFonts w:ascii="Times New Roman" w:hAnsi="Times New Roman"/>
        <w:sz w:val="18"/>
        <w:szCs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val="en-US" w:eastAsia="zh-CN"/>
                            </w:rPr>
                            <w:t xml:space="preserve"> —</w:t>
                          </w:r>
                        </w:p>
                      </w:txbxContent>
                    </wps:txbx>
                    <wps:bodyPr wrap="none" lIns="0" tIns="0" rIns="0" bIns="0" upright="0">
                      <a:spAutoFit/>
                    </wps:bodyPr>
                  </wps:wsp>
                </a:graphicData>
              </a:graphic>
            </wp:anchor>
          </w:drawing>
        </mc:Choice>
        <mc:Fallback>
          <w:pict>
            <v:shape id="文本框 1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">
              <v:fill on="f" focussize="0,0"/>
              <v:stroke on="f"/>
              <v:imagedata o:title=""/>
              <o:lock v:ext="edit" aspectratio="f"/>
              <v:textbox inset="0mm,0mm,0mm,0mm" style="mso-fit-shape-to-text:t;">
                <w:txbxContent>
                  <w:p>
                    <w:pPr>
                      <w:pStyle w:val="6"/>
                      <w:rPr>
                        <w:rFonts w:hint="eastAsia" w:ascii="仿宋_GB2312" w:hAnsi="仿宋_GB2312" w:eastAsia="仿宋_GB2312" w:cs="仿宋_GB2312"/>
                        <w:sz w:val="28"/>
                        <w:szCs w:val="28"/>
                        <w:lang w:val="en-US" w:eastAsia="zh-CN"/>
                      </w:rPr>
                    </w:pPr>
                    <w:r>
                      <w:rPr>
                        <w:rFonts w:hint="eastAsia" w:ascii="Times New Roman" w:hAnsi="Times New Roman" w:eastAsia="仿宋_GB2312" w:cs="Times New Roman"/>
                        <w:sz w:val="28"/>
                        <w:szCs w:val="28"/>
                        <w:lang w:eastAsia="zh-CN"/>
                      </w:rPr>
                      <w:t>—</w:t>
                    </w:r>
                    <w:r>
                      <w:rPr>
                        <w:rFonts w:hint="eastAsia" w:ascii="Times New Roman" w:hAnsi="Times New Roman" w:eastAsia="仿宋_GB2312" w:cs="Times New Roman"/>
                        <w:sz w:val="28"/>
                        <w:szCs w:val="28"/>
                        <w:lang w:val="en-US" w:eastAsia="zh-CN"/>
                      </w:rPr>
                      <w:t xml:space="preserve"> </w:t>
                    </w:r>
                    <w:r>
                      <w:rPr>
                        <w:rFonts w:hint="default" w:ascii="Times New Roman" w:hAnsi="Times New Roman" w:eastAsia="仿宋_GB2312" w:cs="Times New Roman"/>
                        <w:sz w:val="28"/>
                        <w:szCs w:val="28"/>
                        <w:lang w:eastAsia="zh-CN"/>
                      </w:rPr>
                      <w:fldChar w:fldCharType="begin"/>
                    </w:r>
                    <w:r>
                      <w:rPr>
                        <w:rFonts w:hint="default" w:ascii="Times New Roman" w:hAnsi="Times New Roman" w:eastAsia="仿宋_GB2312" w:cs="Times New Roman"/>
                        <w:sz w:val="28"/>
                        <w:szCs w:val="28"/>
                        <w:lang w:eastAsia="zh-CN"/>
                      </w:rPr>
                      <w:instrText xml:space="preserve"> PAGE  \* MERGEFORMAT </w:instrText>
                    </w:r>
                    <w:r>
                      <w:rPr>
                        <w:rFonts w:hint="default" w:ascii="Times New Roman" w:hAnsi="Times New Roman" w:eastAsia="仿宋_GB2312" w:cs="Times New Roman"/>
                        <w:sz w:val="28"/>
                        <w:szCs w:val="28"/>
                        <w:lang w:eastAsia="zh-CN"/>
                      </w:rPr>
                      <w:fldChar w:fldCharType="separate"/>
                    </w:r>
                    <w:r>
                      <w:rPr>
                        <w:rFonts w:hint="default" w:ascii="Times New Roman" w:hAnsi="Times New Roman" w:eastAsia="仿宋_GB2312" w:cs="Times New Roman"/>
                        <w:sz w:val="28"/>
                        <w:szCs w:val="28"/>
                        <w:lang w:eastAsia="zh-CN"/>
                      </w:rPr>
                      <w:t>1</w:t>
                    </w:r>
                    <w:r>
                      <w:rPr>
                        <w:rFonts w:hint="default" w:ascii="Times New Roman" w:hAnsi="Times New Roman" w:eastAsia="仿宋_GB2312" w:cs="Times New Roman"/>
                        <w:sz w:val="28"/>
                        <w:szCs w:val="28"/>
                        <w:lang w:eastAsia="zh-CN"/>
                      </w:rPr>
                      <w:fldChar w:fldCharType="end"/>
                    </w:r>
                    <w:r>
                      <w:rPr>
                        <w:rFonts w:hint="eastAsia" w:ascii="Times New Roman" w:hAnsi="Times New Roman" w:eastAsia="仿宋_GB2312" w:cs="Times New Roman"/>
                        <w:sz w:val="28"/>
                        <w:szCs w:val="28"/>
                        <w:lang w:val="en-US" w:eastAsia="zh-CN"/>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0"/>
  <w:bordersDoNotSurroundFooter w:val="0"/>
  <w:documentProtection w:enforcement="0"/>
  <w:defaultTabStop w:val="420"/>
  <w:hyphenationZone w:val="360"/>
  <w:drawingGridHorizontalSpacing w:val="158"/>
  <w:drawingGridVerticalSpacing w:val="293"/>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JjMTlmOWI2YjliZGRhZDkwNTU2OGJkNmFkYTU0YzAifQ=="/>
  </w:docVars>
  <w:rsids>
    <w:rsidRoot w:val="00DE14C8"/>
    <w:rsid w:val="00367627"/>
    <w:rsid w:val="003752C8"/>
    <w:rsid w:val="00562439"/>
    <w:rsid w:val="008217AA"/>
    <w:rsid w:val="00DE14C8"/>
    <w:rsid w:val="016E124A"/>
    <w:rsid w:val="01CC0CC7"/>
    <w:rsid w:val="01E2462E"/>
    <w:rsid w:val="02105DD0"/>
    <w:rsid w:val="021D229B"/>
    <w:rsid w:val="02897931"/>
    <w:rsid w:val="029A38EC"/>
    <w:rsid w:val="02DB6B5E"/>
    <w:rsid w:val="03343D40"/>
    <w:rsid w:val="038E22AB"/>
    <w:rsid w:val="04387860"/>
    <w:rsid w:val="04D2076D"/>
    <w:rsid w:val="04E87D91"/>
    <w:rsid w:val="05395F18"/>
    <w:rsid w:val="056106F1"/>
    <w:rsid w:val="05860158"/>
    <w:rsid w:val="058E49B0"/>
    <w:rsid w:val="059B629F"/>
    <w:rsid w:val="06562220"/>
    <w:rsid w:val="06857553"/>
    <w:rsid w:val="072F26E7"/>
    <w:rsid w:val="074A1D85"/>
    <w:rsid w:val="07C10EAE"/>
    <w:rsid w:val="08326375"/>
    <w:rsid w:val="08395955"/>
    <w:rsid w:val="08504C31"/>
    <w:rsid w:val="08A239AD"/>
    <w:rsid w:val="08B35707"/>
    <w:rsid w:val="08C46ADC"/>
    <w:rsid w:val="08D833C0"/>
    <w:rsid w:val="09167A44"/>
    <w:rsid w:val="09A11A04"/>
    <w:rsid w:val="09CA0F5B"/>
    <w:rsid w:val="0A18217D"/>
    <w:rsid w:val="0A9A6B7F"/>
    <w:rsid w:val="0AB07173"/>
    <w:rsid w:val="0AB85257"/>
    <w:rsid w:val="0AC27C6A"/>
    <w:rsid w:val="0B5C3E34"/>
    <w:rsid w:val="0BBC0D77"/>
    <w:rsid w:val="0C2F32F7"/>
    <w:rsid w:val="0C580AA0"/>
    <w:rsid w:val="0C697742"/>
    <w:rsid w:val="0C815970"/>
    <w:rsid w:val="0C8F1FE8"/>
    <w:rsid w:val="0C945850"/>
    <w:rsid w:val="0D5758FA"/>
    <w:rsid w:val="0DB80D61"/>
    <w:rsid w:val="0EA31D7A"/>
    <w:rsid w:val="0EB04152"/>
    <w:rsid w:val="0F5337A0"/>
    <w:rsid w:val="103507FE"/>
    <w:rsid w:val="10C65578"/>
    <w:rsid w:val="1119164B"/>
    <w:rsid w:val="111927C8"/>
    <w:rsid w:val="11194576"/>
    <w:rsid w:val="11D077C3"/>
    <w:rsid w:val="120B3EBE"/>
    <w:rsid w:val="13166FBF"/>
    <w:rsid w:val="143F05C1"/>
    <w:rsid w:val="15273705"/>
    <w:rsid w:val="167C4C42"/>
    <w:rsid w:val="16965499"/>
    <w:rsid w:val="16E573D4"/>
    <w:rsid w:val="171952CF"/>
    <w:rsid w:val="179606CE"/>
    <w:rsid w:val="17A134E4"/>
    <w:rsid w:val="17B51536"/>
    <w:rsid w:val="17F90C5D"/>
    <w:rsid w:val="186407CC"/>
    <w:rsid w:val="188449CB"/>
    <w:rsid w:val="18B828C6"/>
    <w:rsid w:val="197C38F4"/>
    <w:rsid w:val="1A644AB4"/>
    <w:rsid w:val="1A78055F"/>
    <w:rsid w:val="1AB72B3B"/>
    <w:rsid w:val="1C0E7ECC"/>
    <w:rsid w:val="1C9057F5"/>
    <w:rsid w:val="1CCD2B25"/>
    <w:rsid w:val="1CD203FA"/>
    <w:rsid w:val="1D513E45"/>
    <w:rsid w:val="1DB01DBE"/>
    <w:rsid w:val="1DCE5B59"/>
    <w:rsid w:val="1E0D4BB8"/>
    <w:rsid w:val="1E1265D5"/>
    <w:rsid w:val="1E3D7AF5"/>
    <w:rsid w:val="1E6E7AA6"/>
    <w:rsid w:val="1E8A7700"/>
    <w:rsid w:val="1F3D1B10"/>
    <w:rsid w:val="1FD60202"/>
    <w:rsid w:val="202A40A9"/>
    <w:rsid w:val="20643786"/>
    <w:rsid w:val="21432ED9"/>
    <w:rsid w:val="214E3DC8"/>
    <w:rsid w:val="215718F7"/>
    <w:rsid w:val="21CB625B"/>
    <w:rsid w:val="222D7E81"/>
    <w:rsid w:val="228038E6"/>
    <w:rsid w:val="230C6303"/>
    <w:rsid w:val="233A2855"/>
    <w:rsid w:val="23F8727F"/>
    <w:rsid w:val="25592D3B"/>
    <w:rsid w:val="257D4C7B"/>
    <w:rsid w:val="261A3FC8"/>
    <w:rsid w:val="26275BC8"/>
    <w:rsid w:val="263404C4"/>
    <w:rsid w:val="263D504F"/>
    <w:rsid w:val="264F49BC"/>
    <w:rsid w:val="26630E46"/>
    <w:rsid w:val="267A1184"/>
    <w:rsid w:val="268C786C"/>
    <w:rsid w:val="26B928ED"/>
    <w:rsid w:val="26F64CE5"/>
    <w:rsid w:val="26FB1D3F"/>
    <w:rsid w:val="27B70919"/>
    <w:rsid w:val="28090A48"/>
    <w:rsid w:val="2829733C"/>
    <w:rsid w:val="285751EA"/>
    <w:rsid w:val="28C130D1"/>
    <w:rsid w:val="28C2743A"/>
    <w:rsid w:val="28D64DCE"/>
    <w:rsid w:val="28DC2B01"/>
    <w:rsid w:val="28EA087A"/>
    <w:rsid w:val="29015BC3"/>
    <w:rsid w:val="299B6018"/>
    <w:rsid w:val="2A21651D"/>
    <w:rsid w:val="2A585CB7"/>
    <w:rsid w:val="2A6621DE"/>
    <w:rsid w:val="2A77613D"/>
    <w:rsid w:val="2A9D5C35"/>
    <w:rsid w:val="2AAF29C3"/>
    <w:rsid w:val="2AB84008"/>
    <w:rsid w:val="2C9C632F"/>
    <w:rsid w:val="2CB74B8B"/>
    <w:rsid w:val="2D0E3785"/>
    <w:rsid w:val="2D605499"/>
    <w:rsid w:val="2DB350A6"/>
    <w:rsid w:val="2E0A3DD8"/>
    <w:rsid w:val="2EA30430"/>
    <w:rsid w:val="2EA94D33"/>
    <w:rsid w:val="2F2D2E03"/>
    <w:rsid w:val="2F401543"/>
    <w:rsid w:val="2FBA2827"/>
    <w:rsid w:val="2FBB0F52"/>
    <w:rsid w:val="2FE65841"/>
    <w:rsid w:val="3034687E"/>
    <w:rsid w:val="30766E97"/>
    <w:rsid w:val="309805A6"/>
    <w:rsid w:val="30DC17B7"/>
    <w:rsid w:val="31401212"/>
    <w:rsid w:val="315F7F96"/>
    <w:rsid w:val="31AA612D"/>
    <w:rsid w:val="31E77C39"/>
    <w:rsid w:val="32326DEE"/>
    <w:rsid w:val="3330157F"/>
    <w:rsid w:val="333F17C2"/>
    <w:rsid w:val="33813B89"/>
    <w:rsid w:val="338F44F8"/>
    <w:rsid w:val="33E52369"/>
    <w:rsid w:val="33EA3A5A"/>
    <w:rsid w:val="3489302E"/>
    <w:rsid w:val="348C4EDB"/>
    <w:rsid w:val="34BA23E3"/>
    <w:rsid w:val="35787E44"/>
    <w:rsid w:val="35EA1EB9"/>
    <w:rsid w:val="3679288A"/>
    <w:rsid w:val="369342FF"/>
    <w:rsid w:val="369553F1"/>
    <w:rsid w:val="383C4522"/>
    <w:rsid w:val="388E36F8"/>
    <w:rsid w:val="38933908"/>
    <w:rsid w:val="39553AED"/>
    <w:rsid w:val="398048E2"/>
    <w:rsid w:val="3A164C96"/>
    <w:rsid w:val="3A4B4C7A"/>
    <w:rsid w:val="3ADB1C7A"/>
    <w:rsid w:val="3B2B0CD5"/>
    <w:rsid w:val="3B872A81"/>
    <w:rsid w:val="3BFA097C"/>
    <w:rsid w:val="3C2F3D4F"/>
    <w:rsid w:val="3C3A231F"/>
    <w:rsid w:val="3CD236A7"/>
    <w:rsid w:val="3CF96E86"/>
    <w:rsid w:val="3CFD6976"/>
    <w:rsid w:val="3D112421"/>
    <w:rsid w:val="3D1C504F"/>
    <w:rsid w:val="3D5A68D3"/>
    <w:rsid w:val="3D7E406F"/>
    <w:rsid w:val="3D833087"/>
    <w:rsid w:val="3DDD2538"/>
    <w:rsid w:val="3EC466AC"/>
    <w:rsid w:val="3F150C28"/>
    <w:rsid w:val="3F7A7875"/>
    <w:rsid w:val="405F34A4"/>
    <w:rsid w:val="407056B1"/>
    <w:rsid w:val="409D65E2"/>
    <w:rsid w:val="40B71100"/>
    <w:rsid w:val="41790595"/>
    <w:rsid w:val="42030B20"/>
    <w:rsid w:val="423A3D23"/>
    <w:rsid w:val="428B0580"/>
    <w:rsid w:val="42C6780A"/>
    <w:rsid w:val="42E9245D"/>
    <w:rsid w:val="43363E0D"/>
    <w:rsid w:val="43394810"/>
    <w:rsid w:val="43B837CD"/>
    <w:rsid w:val="44A9107F"/>
    <w:rsid w:val="44EA3E8A"/>
    <w:rsid w:val="45605CF4"/>
    <w:rsid w:val="456C2B47"/>
    <w:rsid w:val="45800144"/>
    <w:rsid w:val="45B57984"/>
    <w:rsid w:val="46162856"/>
    <w:rsid w:val="46BF5A44"/>
    <w:rsid w:val="46C30804"/>
    <w:rsid w:val="46D70238"/>
    <w:rsid w:val="46ED1D87"/>
    <w:rsid w:val="47E70599"/>
    <w:rsid w:val="48BE721F"/>
    <w:rsid w:val="48F84495"/>
    <w:rsid w:val="490374B3"/>
    <w:rsid w:val="495913D8"/>
    <w:rsid w:val="496D09DF"/>
    <w:rsid w:val="498D12F5"/>
    <w:rsid w:val="498D5CEC"/>
    <w:rsid w:val="4A730277"/>
    <w:rsid w:val="4AF729D1"/>
    <w:rsid w:val="4B227D61"/>
    <w:rsid w:val="4B7122DD"/>
    <w:rsid w:val="4C0D66B0"/>
    <w:rsid w:val="4C313669"/>
    <w:rsid w:val="4C83051A"/>
    <w:rsid w:val="4CA5313D"/>
    <w:rsid w:val="4CA7245A"/>
    <w:rsid w:val="4D665E71"/>
    <w:rsid w:val="4D732EA2"/>
    <w:rsid w:val="4DAD3AA0"/>
    <w:rsid w:val="4DD7450B"/>
    <w:rsid w:val="4DDA06F9"/>
    <w:rsid w:val="4E2541BE"/>
    <w:rsid w:val="4E481A1B"/>
    <w:rsid w:val="4E6D76D3"/>
    <w:rsid w:val="4E6F71BF"/>
    <w:rsid w:val="4EAD53E6"/>
    <w:rsid w:val="4F1F277C"/>
    <w:rsid w:val="4F88650A"/>
    <w:rsid w:val="502F2E92"/>
    <w:rsid w:val="50A73B5B"/>
    <w:rsid w:val="50D17AA6"/>
    <w:rsid w:val="511939D8"/>
    <w:rsid w:val="51806681"/>
    <w:rsid w:val="51CC4711"/>
    <w:rsid w:val="528154FB"/>
    <w:rsid w:val="52A559A2"/>
    <w:rsid w:val="52E27AA7"/>
    <w:rsid w:val="53035F10"/>
    <w:rsid w:val="531E2D4A"/>
    <w:rsid w:val="532B44B5"/>
    <w:rsid w:val="53E75832"/>
    <w:rsid w:val="53F65A75"/>
    <w:rsid w:val="5457245C"/>
    <w:rsid w:val="546E385E"/>
    <w:rsid w:val="547B6A5E"/>
    <w:rsid w:val="548818A8"/>
    <w:rsid w:val="54B53E2C"/>
    <w:rsid w:val="54CE0CA3"/>
    <w:rsid w:val="55D41DE6"/>
    <w:rsid w:val="56A33C92"/>
    <w:rsid w:val="56B93E29"/>
    <w:rsid w:val="570566FB"/>
    <w:rsid w:val="571C3A45"/>
    <w:rsid w:val="57405985"/>
    <w:rsid w:val="58287AAE"/>
    <w:rsid w:val="583059FA"/>
    <w:rsid w:val="58366D88"/>
    <w:rsid w:val="58B73A25"/>
    <w:rsid w:val="58D746F8"/>
    <w:rsid w:val="590F1AB3"/>
    <w:rsid w:val="59636E6F"/>
    <w:rsid w:val="59C05A98"/>
    <w:rsid w:val="59E545C2"/>
    <w:rsid w:val="5A6220B6"/>
    <w:rsid w:val="5A834AD5"/>
    <w:rsid w:val="5ABD1400"/>
    <w:rsid w:val="5AD05272"/>
    <w:rsid w:val="5AF947C9"/>
    <w:rsid w:val="5B1433B1"/>
    <w:rsid w:val="5C3106D2"/>
    <w:rsid w:val="5D7168BC"/>
    <w:rsid w:val="5DEC4171"/>
    <w:rsid w:val="5DF45E36"/>
    <w:rsid w:val="5DF6ADD7"/>
    <w:rsid w:val="5E4E7E57"/>
    <w:rsid w:val="5EAE36A9"/>
    <w:rsid w:val="5EBD5CBB"/>
    <w:rsid w:val="5EC155FD"/>
    <w:rsid w:val="5F302888"/>
    <w:rsid w:val="5F5A6C59"/>
    <w:rsid w:val="5FC609F2"/>
    <w:rsid w:val="6008725C"/>
    <w:rsid w:val="6017124D"/>
    <w:rsid w:val="604F4CCA"/>
    <w:rsid w:val="605A2912"/>
    <w:rsid w:val="608703EC"/>
    <w:rsid w:val="60CB2763"/>
    <w:rsid w:val="6106379C"/>
    <w:rsid w:val="613227E2"/>
    <w:rsid w:val="614B1268"/>
    <w:rsid w:val="6150016E"/>
    <w:rsid w:val="61A46B11"/>
    <w:rsid w:val="62314848"/>
    <w:rsid w:val="6257512E"/>
    <w:rsid w:val="62676A3E"/>
    <w:rsid w:val="627E3805"/>
    <w:rsid w:val="628232F6"/>
    <w:rsid w:val="62F202D9"/>
    <w:rsid w:val="63343EC4"/>
    <w:rsid w:val="63CB5574"/>
    <w:rsid w:val="64860D98"/>
    <w:rsid w:val="64BE613B"/>
    <w:rsid w:val="64FB189E"/>
    <w:rsid w:val="659F224B"/>
    <w:rsid w:val="65C92FEA"/>
    <w:rsid w:val="65DB2C31"/>
    <w:rsid w:val="667A42E4"/>
    <w:rsid w:val="67191078"/>
    <w:rsid w:val="67550FD9"/>
    <w:rsid w:val="67A41618"/>
    <w:rsid w:val="67C223E6"/>
    <w:rsid w:val="67FF1D2C"/>
    <w:rsid w:val="682E182A"/>
    <w:rsid w:val="68FB170C"/>
    <w:rsid w:val="694C1F68"/>
    <w:rsid w:val="69E91F89"/>
    <w:rsid w:val="69FB2A87"/>
    <w:rsid w:val="6A294057"/>
    <w:rsid w:val="6A9F14FB"/>
    <w:rsid w:val="6AF723A7"/>
    <w:rsid w:val="6B032AFA"/>
    <w:rsid w:val="6B054AC4"/>
    <w:rsid w:val="6BD5340E"/>
    <w:rsid w:val="6C3710E8"/>
    <w:rsid w:val="6CA976D1"/>
    <w:rsid w:val="6CB415BF"/>
    <w:rsid w:val="6CCA7D73"/>
    <w:rsid w:val="6DAF2D67"/>
    <w:rsid w:val="6DE970D7"/>
    <w:rsid w:val="6E036618"/>
    <w:rsid w:val="6E0D7EC3"/>
    <w:rsid w:val="6E600263"/>
    <w:rsid w:val="6E6A2D84"/>
    <w:rsid w:val="6E8D5E47"/>
    <w:rsid w:val="6ECA666D"/>
    <w:rsid w:val="6F086931"/>
    <w:rsid w:val="6F454A19"/>
    <w:rsid w:val="6F5B05EF"/>
    <w:rsid w:val="6F991C7F"/>
    <w:rsid w:val="6FEF189F"/>
    <w:rsid w:val="70033F0B"/>
    <w:rsid w:val="700912D2"/>
    <w:rsid w:val="702434D4"/>
    <w:rsid w:val="70800239"/>
    <w:rsid w:val="71107D1F"/>
    <w:rsid w:val="71496A24"/>
    <w:rsid w:val="716A5A04"/>
    <w:rsid w:val="72930C07"/>
    <w:rsid w:val="72F07E08"/>
    <w:rsid w:val="730D7F28"/>
    <w:rsid w:val="73426189"/>
    <w:rsid w:val="73A670A4"/>
    <w:rsid w:val="73C82DC1"/>
    <w:rsid w:val="74442494"/>
    <w:rsid w:val="75976EEA"/>
    <w:rsid w:val="761E4C8C"/>
    <w:rsid w:val="76F21EB3"/>
    <w:rsid w:val="77444BC6"/>
    <w:rsid w:val="777226D7"/>
    <w:rsid w:val="77B34B69"/>
    <w:rsid w:val="77F7B5B9"/>
    <w:rsid w:val="78346880"/>
    <w:rsid w:val="798E0D69"/>
    <w:rsid w:val="79C95BF3"/>
    <w:rsid w:val="79FF3026"/>
    <w:rsid w:val="7A014890"/>
    <w:rsid w:val="7AB20098"/>
    <w:rsid w:val="7AC47340"/>
    <w:rsid w:val="7AEF6BF7"/>
    <w:rsid w:val="7B682E18"/>
    <w:rsid w:val="7B725051"/>
    <w:rsid w:val="7BA2010D"/>
    <w:rsid w:val="7C4116D4"/>
    <w:rsid w:val="7C883AF4"/>
    <w:rsid w:val="7C8966CA"/>
    <w:rsid w:val="7D0568EF"/>
    <w:rsid w:val="7D5316BF"/>
    <w:rsid w:val="7DA261A2"/>
    <w:rsid w:val="7E4154BC"/>
    <w:rsid w:val="7E4B05E8"/>
    <w:rsid w:val="7EA0294C"/>
    <w:rsid w:val="7EE10E3A"/>
    <w:rsid w:val="7EF0386F"/>
    <w:rsid w:val="7EF38D20"/>
    <w:rsid w:val="7F4D0676"/>
    <w:rsid w:val="7F7AFB9B"/>
    <w:rsid w:val="7F7DBE66"/>
    <w:rsid w:val="7FA36202"/>
    <w:rsid w:val="7FCB5E84"/>
    <w:rsid w:val="7FFF5FF9"/>
    <w:rsid w:val="B377E2B1"/>
    <w:rsid w:val="BA7D1102"/>
    <w:rsid w:val="CAFD40E5"/>
    <w:rsid w:val="DBF7DF69"/>
    <w:rsid w:val="DD9E1F73"/>
    <w:rsid w:val="DFFEE707"/>
    <w:rsid w:val="EDF79181"/>
    <w:rsid w:val="EF3F6B48"/>
    <w:rsid w:val="F375C839"/>
    <w:rsid w:val="F6F1A29E"/>
    <w:rsid w:val="F8DF65B9"/>
    <w:rsid w:val="FFFFCD16"/>
  </w:rsids>
  <m:mathPr>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0"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2"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32"/>
      <w:szCs w:val="24"/>
      <w:lang w:val="en-US" w:eastAsia="zh-CN" w:bidi="ar-SA"/>
    </w:rPr>
  </w:style>
  <w:style w:type="paragraph" w:styleId="3">
    <w:name w:val="heading 5"/>
    <w:basedOn w:val="1"/>
    <w:next w:val="1"/>
    <w:qFormat/>
    <w:uiPriority w:val="0"/>
    <w:pPr>
      <w:keepNext/>
      <w:keepLines/>
      <w:ind w:left="851" w:hanging="851"/>
      <w:outlineLvl w:val="4"/>
    </w:pPr>
    <w:rPr>
      <w:b/>
      <w:bCs/>
      <w:szCs w:val="28"/>
    </w:rPr>
  </w:style>
  <w:style w:type="character" w:default="1" w:styleId="9">
    <w:name w:val="Default Paragraph Font"/>
    <w:semiHidden/>
    <w:qFormat/>
    <w:uiPriority w:val="0"/>
  </w:style>
  <w:style w:type="table" w:default="1" w:styleId="12">
    <w:name w:val="Normal Table"/>
    <w:semiHidden/>
    <w:qFormat/>
    <w:uiPriority w:val="0"/>
    <w:tblPr>
      <w:tblLayout w:type="fixed"/>
      <w:tblCellMar>
        <w:top w:w="0" w:type="dxa"/>
        <w:left w:w="108" w:type="dxa"/>
        <w:bottom w:w="0" w:type="dxa"/>
        <w:right w:w="108" w:type="dxa"/>
      </w:tblCellMar>
    </w:tblPr>
  </w:style>
  <w:style w:type="paragraph" w:styleId="2">
    <w:name w:val="Body Text First Indent 2"/>
    <w:qFormat/>
    <w:uiPriority w:val="0"/>
    <w:pPr>
      <w:widowControl w:val="0"/>
      <w:spacing w:after="120" w:afterLines="0" w:afterAutospacing="0"/>
      <w:ind w:left="420" w:leftChars="200" w:firstLine="420" w:firstLineChars="200"/>
      <w:jc w:val="both"/>
    </w:pPr>
    <w:rPr>
      <w:rFonts w:ascii="Calibri" w:hAnsi="Calibri" w:eastAsia="宋体" w:cs="Times New Roman"/>
      <w:kern w:val="2"/>
      <w:sz w:val="21"/>
      <w:szCs w:val="24"/>
      <w:lang w:val="en-US" w:eastAsia="zh-CN" w:bidi="ar-SA"/>
    </w:rPr>
  </w:style>
  <w:style w:type="paragraph" w:styleId="4">
    <w:name w:val="index 5"/>
    <w:basedOn w:val="1"/>
    <w:next w:val="1"/>
    <w:qFormat/>
    <w:uiPriority w:val="2"/>
    <w:pPr>
      <w:ind w:left="1680"/>
    </w:pPr>
  </w:style>
  <w:style w:type="paragraph" w:styleId="5">
    <w:name w:val="Body Text"/>
    <w:basedOn w:val="1"/>
    <w:next w:val="6"/>
    <w:qFormat/>
    <w:uiPriority w:val="0"/>
    <w:pPr>
      <w:jc w:val="center"/>
    </w:pPr>
    <w:rPr>
      <w:rFonts w:eastAsia="宋体"/>
      <w:b/>
      <w:bCs/>
      <w:sz w:val="44"/>
      <w:szCs w:val="24"/>
    </w:rPr>
  </w:style>
  <w:style w:type="paragraph" w:styleId="6">
    <w:name w:val="footer"/>
    <w:basedOn w:val="1"/>
    <w:next w:val="4"/>
    <w:qFormat/>
    <w:uiPriority w:val="0"/>
    <w:pPr>
      <w:tabs>
        <w:tab w:val="center" w:pos="4153"/>
        <w:tab w:val="right" w:pos="8306"/>
      </w:tabs>
      <w:snapToGrid w:val="0"/>
      <w:jc w:val="left"/>
    </w:pPr>
    <w:rPr>
      <w:sz w:val="18"/>
    </w:rPr>
  </w:style>
  <w:style w:type="paragraph" w:styleId="7">
    <w:name w:val="Body Text Indent"/>
    <w:qFormat/>
    <w:uiPriority w:val="0"/>
    <w:pPr>
      <w:widowControl w:val="0"/>
      <w:spacing w:after="120" w:afterLines="0" w:afterAutospacing="0"/>
      <w:ind w:left="420" w:leftChars="200"/>
      <w:jc w:val="both"/>
    </w:pPr>
    <w:rPr>
      <w:rFonts w:ascii="Calibri" w:hAnsi="Calibri" w:eastAsia="宋体" w:cs="Times New Roman"/>
      <w:kern w:val="2"/>
      <w:sz w:val="21"/>
      <w:szCs w:val="24"/>
      <w:lang w:val="en-US" w:eastAsia="zh-CN" w:bidi="ar-SA"/>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10">
    <w:name w:val="page number"/>
    <w:basedOn w:val="9"/>
    <w:qFormat/>
    <w:uiPriority w:val="0"/>
  </w:style>
  <w:style w:type="character" w:styleId="11">
    <w:name w:val="Hyperlink"/>
    <w:basedOn w:val="9"/>
    <w:qFormat/>
    <w:uiPriority w:val="0"/>
    <w:rPr>
      <w:color w:val="0000FF"/>
      <w:u w:val="single"/>
    </w:rPr>
  </w:style>
  <w:style w:type="table" w:styleId="13">
    <w:name w:val="Table Grid"/>
    <w:basedOn w:val="1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9</Pages>
  <Words>3952</Words>
  <Characters>4014</Characters>
  <Lines>50</Lines>
  <Paragraphs>14</Paragraphs>
  <TotalTime>0</TotalTime>
  <ScaleCrop>false</ScaleCrop>
  <LinksUpToDate>false</LinksUpToDate>
  <CharactersWithSpaces>4206</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2022-10-22T00:26:00Z</dcterms:created>
  <dc:creator>Administrator</dc:creator>
  <cp:lastModifiedBy>LTGX04</cp:lastModifiedBy>
  <cp:lastPrinted>2024-05-15T22:24:00Z</cp:lastPrinted>
  <dcterms:modified xsi:type="dcterms:W3CDTF">2024-06-07T07:50:43Z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290F0DFBFE5040859F4B69AED327B3B9</vt:lpwstr>
  </property>
</Properties>
</file>