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947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小标宋简体"/>
          <w:color w:val="auto"/>
          <w:spacing w:val="-8"/>
          <w:sz w:val="44"/>
          <w:szCs w:val="44"/>
          <w:lang w:eastAsia="zh-CN"/>
        </w:rPr>
      </w:pPr>
    </w:p>
    <w:p w14:paraId="2343B0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小标宋简体"/>
          <w:color w:val="auto"/>
          <w:spacing w:val="-8"/>
          <w:sz w:val="32"/>
          <w:szCs w:val="32"/>
        </w:rPr>
      </w:pPr>
    </w:p>
    <w:p w14:paraId="0A91A0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小标宋简体"/>
          <w:color w:val="auto"/>
          <w:spacing w:val="-8"/>
          <w:sz w:val="32"/>
          <w:szCs w:val="32"/>
        </w:rPr>
      </w:pPr>
    </w:p>
    <w:p w14:paraId="5140BF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鲁人社字〔202</w:t>
      </w: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val="en-US" w:eastAsia="zh-CN"/>
        </w:rPr>
        <w:t>136</w:t>
      </w:r>
      <w:r>
        <w:rPr>
          <w:rFonts w:hint="eastAsia" w:ascii="仿宋_GB2312" w:hAnsi="仿宋_GB2312" w:eastAsia="仿宋_GB2312" w:cs="仿宋_GB2312"/>
          <w:color w:val="auto"/>
          <w:spacing w:val="-8"/>
          <w:sz w:val="32"/>
          <w:szCs w:val="32"/>
        </w:rPr>
        <w:t>号</w:t>
      </w:r>
    </w:p>
    <w:p w14:paraId="7375FB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小标宋简体"/>
          <w:color w:val="auto"/>
          <w:spacing w:val="-8"/>
          <w:sz w:val="32"/>
          <w:szCs w:val="32"/>
        </w:rPr>
      </w:pPr>
      <w:bookmarkStart w:id="0" w:name="_GoBack"/>
      <w:bookmarkEnd w:id="0"/>
    </w:p>
    <w:p w14:paraId="3567D377">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小标宋简体" w:hAnsi="方正小标宋简体" w:eastAsia="方正小标宋简体" w:cs="方正小标宋简体"/>
          <w:color w:val="auto"/>
          <w:kern w:val="0"/>
          <w:sz w:val="32"/>
          <w:szCs w:val="32"/>
          <w:highlight w:val="none"/>
          <w:lang w:val="en-US" w:eastAsia="zh-CN"/>
        </w:rPr>
      </w:pPr>
    </w:p>
    <w:p w14:paraId="57F88AE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山东省人力资源和社会保障厅 国家税务总局山东省税务局 国家税务总局青岛市税务局</w:t>
      </w:r>
    </w:p>
    <w:p w14:paraId="56F8AF3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关于印发《山东省居民基本养老保险</w:t>
      </w:r>
    </w:p>
    <w:p w14:paraId="73F6A61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经办规程》的通知</w:t>
      </w:r>
    </w:p>
    <w:p w14:paraId="0AB2BD28">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仿宋_GB2312" w:hAnsi="仿宋_GB2312" w:eastAsia="仿宋_GB2312" w:cs="仿宋_GB2312"/>
          <w:color w:val="auto"/>
          <w:kern w:val="0"/>
          <w:sz w:val="32"/>
          <w:szCs w:val="32"/>
          <w:highlight w:val="none"/>
        </w:rPr>
      </w:pPr>
    </w:p>
    <w:p w14:paraId="74BFD40F">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各市人力资源社会保障局、国家税务总局山东省各市税务局，国家税务总局青岛市各区、市税务局：</w:t>
      </w:r>
    </w:p>
    <w:p w14:paraId="04E45CCD">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为贯彻落实</w:t>
      </w:r>
      <w:r>
        <w:rPr>
          <w:rFonts w:hint="eastAsia" w:ascii="仿宋_GB2312" w:hAnsi="仿宋_GB2312" w:eastAsia="仿宋_GB2312" w:cs="仿宋_GB2312"/>
          <w:color w:val="auto"/>
          <w:kern w:val="0"/>
          <w:sz w:val="32"/>
          <w:szCs w:val="32"/>
          <w:highlight w:val="none"/>
        </w:rPr>
        <w:t>省委、省政府深入推进“放管服”改革精神，</w:t>
      </w:r>
      <w:r>
        <w:rPr>
          <w:rFonts w:hint="eastAsia" w:ascii="仿宋_GB2312" w:hAnsi="仿宋_GB2312" w:eastAsia="仿宋_GB2312" w:cs="仿宋_GB2312"/>
          <w:color w:val="auto"/>
          <w:kern w:val="0"/>
          <w:sz w:val="32"/>
          <w:szCs w:val="32"/>
          <w:highlight w:val="none"/>
          <w:lang w:val="en-US" w:eastAsia="zh-CN"/>
        </w:rPr>
        <w:t>进一步提升居民养老保险经办服务规范化、标准化、便利化水平，为城乡居民提供更加优质高效的服务，结合我省实际，制定了《山东省居民基本养老保险经办规程》，现印发给你们，请认真贯彻落实。</w:t>
      </w:r>
    </w:p>
    <w:p w14:paraId="4061F653">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p>
    <w:p w14:paraId="14501CEB">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14:paraId="4681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vAlign w:val="center"/>
          </w:tcPr>
          <w:p w14:paraId="564F5B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山东省人力资源和社会保障厅</w:t>
            </w:r>
          </w:p>
        </w:tc>
        <w:tc>
          <w:tcPr>
            <w:tcW w:w="3020" w:type="dxa"/>
            <w:vAlign w:val="center"/>
          </w:tcPr>
          <w:p w14:paraId="7CCE79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国家税务总局</w:t>
            </w:r>
          </w:p>
          <w:p w14:paraId="1923E5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山东省税务局</w:t>
            </w:r>
          </w:p>
        </w:tc>
        <w:tc>
          <w:tcPr>
            <w:tcW w:w="3020" w:type="dxa"/>
            <w:vAlign w:val="center"/>
          </w:tcPr>
          <w:p w14:paraId="5E1CCC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国家税务总局</w:t>
            </w:r>
          </w:p>
          <w:p w14:paraId="6521F2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青岛市税务局</w:t>
            </w:r>
          </w:p>
        </w:tc>
      </w:tr>
    </w:tbl>
    <w:p w14:paraId="06D3885B">
      <w:pPr>
        <w:pStyle w:val="4"/>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2023年12月29日</w:t>
      </w:r>
    </w:p>
    <w:p w14:paraId="1BB232AF">
      <w:pPr>
        <w:pStyle w:val="4"/>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此件主动公开</w:t>
      </w:r>
      <w:r>
        <w:rPr>
          <w:rFonts w:hint="eastAsia" w:ascii="仿宋_GB2312" w:hAnsi="仿宋_GB2312" w:eastAsia="仿宋_GB2312" w:cs="仿宋_GB2312"/>
          <w:color w:val="auto"/>
          <w:kern w:val="0"/>
          <w:sz w:val="32"/>
          <w:szCs w:val="32"/>
          <w:highlight w:val="none"/>
          <w:lang w:eastAsia="zh-CN"/>
        </w:rPr>
        <w:t>）</w:t>
      </w:r>
    </w:p>
    <w:p w14:paraId="05150BED">
      <w:pPr>
        <w:pStyle w:val="4"/>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联系单位：山东省社会保险事业中心</w:t>
      </w:r>
      <w:r>
        <w:rPr>
          <w:rFonts w:hint="eastAsia" w:ascii="仿宋_GB2312" w:hAnsi="仿宋_GB2312" w:eastAsia="仿宋_GB2312" w:cs="仿宋_GB2312"/>
          <w:color w:val="auto"/>
          <w:kern w:val="0"/>
          <w:sz w:val="32"/>
          <w:szCs w:val="32"/>
          <w:highlight w:val="none"/>
          <w:lang w:eastAsia="zh-CN"/>
        </w:rPr>
        <w:t>）</w:t>
      </w:r>
    </w:p>
    <w:p w14:paraId="05A2293A">
      <w:pPr>
        <w:keepNext w:val="0"/>
        <w:keepLines w:val="0"/>
        <w:pageBreakBefore w:val="0"/>
        <w:widowControl w:val="0"/>
        <w:kinsoku/>
        <w:wordWrap/>
        <w:overflowPunct/>
        <w:topLinePunct w:val="0"/>
        <w:autoSpaceDE/>
        <w:autoSpaceDN/>
        <w:bidi w:val="0"/>
        <w:adjustRightInd/>
        <w:snapToGrid/>
        <w:spacing w:line="560" w:lineRule="exact"/>
        <w:ind w:left="0" w:firstLine="872" w:firstLineChars="200"/>
        <w:jc w:val="both"/>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br w:type="page"/>
      </w:r>
    </w:p>
    <w:p w14:paraId="5D5F02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山东省居民基本养老保险经办规程</w:t>
      </w:r>
    </w:p>
    <w:p w14:paraId="78E8E07A">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center"/>
        <w:textAlignment w:val="auto"/>
        <w:rPr>
          <w:rFonts w:ascii="黑体" w:hAnsi="黑体" w:eastAsia="黑体"/>
          <w:color w:val="auto"/>
          <w:kern w:val="0"/>
          <w:szCs w:val="32"/>
          <w:highlight w:val="none"/>
        </w:rPr>
      </w:pPr>
    </w:p>
    <w:p w14:paraId="25F70314">
      <w:pPr>
        <w:pStyle w:val="18"/>
        <w:keepNext w:val="0"/>
        <w:keepLines w:val="0"/>
        <w:pageBreakBefore w:val="0"/>
        <w:widowControl w:val="0"/>
        <w:tabs>
          <w:tab w:val="left" w:pos="4270"/>
          <w:tab w:val="center" w:pos="4843"/>
        </w:tabs>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s="黑体"/>
          <w:bCs/>
          <w:color w:val="auto"/>
          <w:kern w:val="0"/>
          <w:szCs w:val="32"/>
          <w:highlight w:val="none"/>
        </w:rPr>
      </w:pPr>
      <w:r>
        <w:rPr>
          <w:rFonts w:hint="eastAsia" w:ascii="黑体" w:hAnsi="黑体" w:eastAsia="黑体" w:cs="黑体"/>
          <w:bCs/>
          <w:color w:val="auto"/>
          <w:kern w:val="0"/>
          <w:szCs w:val="32"/>
          <w:highlight w:val="none"/>
        </w:rPr>
        <w:t>第一章  总  则</w:t>
      </w:r>
    </w:p>
    <w:p w14:paraId="4E42DF9A">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s="黑体"/>
          <w:bCs/>
          <w:color w:val="auto"/>
          <w:kern w:val="0"/>
          <w:szCs w:val="32"/>
          <w:highlight w:val="none"/>
        </w:rPr>
      </w:pPr>
    </w:p>
    <w:p w14:paraId="4D95403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olor w:val="auto"/>
          <w:highlight w:val="none"/>
        </w:rPr>
        <w:t>第</w:t>
      </w:r>
      <w:r>
        <w:rPr>
          <w:rFonts w:ascii="黑体" w:hAnsi="黑体" w:eastAsia="黑体"/>
          <w:color w:val="auto"/>
          <w:highlight w:val="none"/>
        </w:rPr>
        <w:t>一条</w:t>
      </w:r>
      <w:r>
        <w:rPr>
          <w:rFonts w:hint="eastAsia"/>
          <w:color w:val="auto"/>
          <w:highlight w:val="none"/>
        </w:rPr>
        <w:t xml:space="preserve">  按照省委、省政府深入推进“放管服”改革精神，根据《山东省人民政府关于建立居民基本养老保险制度的实施意见》（鲁政发〔2013〕13号）</w:t>
      </w:r>
      <w:r>
        <w:rPr>
          <w:rFonts w:hint="eastAsia"/>
          <w:color w:val="auto"/>
          <w:highlight w:val="none"/>
          <w:lang w:eastAsia="zh-CN"/>
        </w:rPr>
        <w:t>、</w:t>
      </w:r>
      <w:r>
        <w:rPr>
          <w:rFonts w:hint="eastAsia"/>
          <w:color w:val="auto"/>
          <w:highlight w:val="none"/>
        </w:rPr>
        <w:t>《国家税务总局 财政部 中国人民银行 人力资源社会保障部 国家医疗保障局关于平稳有序做好社会保险费征管职责划转后征缴工作的通知》（税总发〔2018〕180号）、《人力资源社会保障部关于印发</w:t>
      </w:r>
      <w:r>
        <w:rPr>
          <w:rFonts w:hint="eastAsia" w:ascii="仿宋_GB2312" w:hAnsi="仿宋_GB2312" w:eastAsia="仿宋_GB2312" w:cs="仿宋_GB2312"/>
          <w:color w:val="auto"/>
          <w:highlight w:val="none"/>
        </w:rPr>
        <w:t>〈</w:t>
      </w:r>
      <w:r>
        <w:rPr>
          <w:rFonts w:hint="eastAsia"/>
          <w:color w:val="auto"/>
          <w:highlight w:val="none"/>
        </w:rPr>
        <w:t>城乡居民基本养老保险经办规程</w:t>
      </w:r>
      <w:r>
        <w:rPr>
          <w:rFonts w:hint="eastAsia" w:ascii="仿宋_GB2312" w:hAnsi="仿宋_GB2312" w:eastAsia="仿宋_GB2312" w:cs="仿宋_GB2312"/>
          <w:color w:val="auto"/>
          <w:highlight w:val="none"/>
        </w:rPr>
        <w:t>〉</w:t>
      </w:r>
      <w:r>
        <w:rPr>
          <w:rFonts w:hint="eastAsia"/>
          <w:color w:val="auto"/>
          <w:highlight w:val="none"/>
        </w:rPr>
        <w:t>的通知》（人社部发〔2019〕84号）</w:t>
      </w:r>
      <w:r>
        <w:rPr>
          <w:rFonts w:hint="eastAsia"/>
          <w:color w:val="auto"/>
          <w:highlight w:val="none"/>
          <w:lang w:eastAsia="zh-CN"/>
        </w:rPr>
        <w:t>、《</w:t>
      </w:r>
      <w:r>
        <w:rPr>
          <w:rFonts w:hint="eastAsia"/>
          <w:color w:val="auto"/>
          <w:highlight w:val="none"/>
          <w:lang w:val="en-US" w:eastAsia="zh-CN"/>
        </w:rPr>
        <w:t>社会保险经办条例</w:t>
      </w:r>
      <w:r>
        <w:rPr>
          <w:rFonts w:hint="eastAsia"/>
          <w:color w:val="auto"/>
          <w:highlight w:val="none"/>
          <w:lang w:eastAsia="zh-CN"/>
        </w:rPr>
        <w:t>》（</w:t>
      </w:r>
      <w:r>
        <w:rPr>
          <w:rFonts w:hint="eastAsia"/>
          <w:color w:val="auto"/>
          <w:highlight w:val="none"/>
          <w:lang w:val="en-US" w:eastAsia="zh-CN"/>
        </w:rPr>
        <w:t>国务院令第765号</w:t>
      </w:r>
      <w:r>
        <w:rPr>
          <w:rFonts w:hint="eastAsia"/>
          <w:color w:val="auto"/>
          <w:highlight w:val="none"/>
          <w:lang w:eastAsia="zh-CN"/>
        </w:rPr>
        <w:t>）</w:t>
      </w:r>
      <w:r>
        <w:rPr>
          <w:rFonts w:hint="eastAsia"/>
          <w:color w:val="auto"/>
          <w:highlight w:val="none"/>
        </w:rPr>
        <w:t>等文件</w:t>
      </w:r>
      <w:r>
        <w:rPr>
          <w:rFonts w:hint="eastAsia"/>
          <w:color w:val="auto"/>
          <w:highlight w:val="none"/>
          <w:lang w:val="en-US" w:eastAsia="zh-CN"/>
        </w:rPr>
        <w:t>要求</w:t>
      </w:r>
      <w:r>
        <w:rPr>
          <w:rFonts w:hint="eastAsia"/>
          <w:color w:val="auto"/>
          <w:highlight w:val="none"/>
        </w:rPr>
        <w:t>，为确保居民基本养老保险（以下简称居民养老保险）经办管理服务工作顺利实施，实现业务经办规范、方便、快捷，结合我省实际，制定本规程。</w:t>
      </w:r>
    </w:p>
    <w:p w14:paraId="4B355A1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olor w:val="auto"/>
          <w:highlight w:val="none"/>
        </w:rPr>
        <w:t>第二</w:t>
      </w:r>
      <w:r>
        <w:rPr>
          <w:rFonts w:ascii="黑体" w:hAnsi="黑体" w:eastAsia="黑体"/>
          <w:color w:val="auto"/>
          <w:highlight w:val="none"/>
        </w:rPr>
        <w:t>条</w:t>
      </w:r>
      <w:r>
        <w:rPr>
          <w:rFonts w:hint="eastAsia" w:ascii="黑体" w:hAnsi="黑体" w:eastAsia="黑体"/>
          <w:color w:val="auto"/>
          <w:highlight w:val="none"/>
        </w:rPr>
        <w:t xml:space="preserve">  </w:t>
      </w:r>
      <w:r>
        <w:rPr>
          <w:rFonts w:hint="eastAsia"/>
          <w:color w:val="auto"/>
          <w:highlight w:val="none"/>
        </w:rPr>
        <w:t>居民养老保险经办包括参保登记、保险费征缴、个人账户管理、待遇核定与支付、待遇享受资格认证、注销登记、跨省关系转移接续和省内个人账户归集、</w:t>
      </w:r>
      <w:r>
        <w:rPr>
          <w:rFonts w:hint="eastAsia"/>
          <w:color w:val="auto"/>
          <w:highlight w:val="none"/>
          <w:lang w:eastAsia="zh-CN"/>
        </w:rPr>
        <w:t>经办</w:t>
      </w:r>
      <w:r>
        <w:rPr>
          <w:rFonts w:hint="eastAsia"/>
          <w:color w:val="auto"/>
          <w:highlight w:val="none"/>
        </w:rPr>
        <w:t>服务</w:t>
      </w:r>
      <w:r>
        <w:rPr>
          <w:rFonts w:hint="eastAsia"/>
          <w:color w:val="auto"/>
          <w:highlight w:val="none"/>
          <w:lang w:eastAsia="zh-CN"/>
        </w:rPr>
        <w:t>和</w:t>
      </w:r>
      <w:r>
        <w:rPr>
          <w:rFonts w:hint="eastAsia"/>
          <w:color w:val="auto"/>
          <w:highlight w:val="none"/>
        </w:rPr>
        <w:t>管理、基金管理、信息系统建设与统计管理、档案管理、核查内控、宣传咨询等。</w:t>
      </w:r>
    </w:p>
    <w:p w14:paraId="20BC7B21">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社会保险经办机构（以下简称社保机构）、税务部门、乡镇（街道）人力资源和社会保障所（便民服务中心或社会工作站）〔以下简称乡镇（街道）服务中心〕、行政村（社区）村（居）民委员会协办人员〔以下简称村（居）协办员〕和符合条件的机构办理居民养老保险业务适用本规程。</w:t>
      </w:r>
    </w:p>
    <w:p w14:paraId="2BCC1C7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olor w:val="auto"/>
          <w:highlight w:val="none"/>
        </w:rPr>
        <w:t>第三</w:t>
      </w:r>
      <w:r>
        <w:rPr>
          <w:rFonts w:ascii="黑体" w:hAnsi="黑体" w:eastAsia="黑体"/>
          <w:color w:val="auto"/>
          <w:highlight w:val="none"/>
        </w:rPr>
        <w:t>条</w:t>
      </w:r>
      <w:r>
        <w:rPr>
          <w:rFonts w:hint="eastAsia" w:ascii="黑体" w:hAnsi="黑体" w:eastAsia="黑体"/>
          <w:color w:val="auto"/>
          <w:highlight w:val="none"/>
        </w:rPr>
        <w:t xml:space="preserve"> </w:t>
      </w:r>
      <w:r>
        <w:rPr>
          <w:rFonts w:ascii="黑体" w:hAnsi="黑体" w:eastAsia="黑体"/>
          <w:color w:val="auto"/>
          <w:highlight w:val="none"/>
        </w:rPr>
        <w:t xml:space="preserve"> </w:t>
      </w:r>
      <w:r>
        <w:rPr>
          <w:rFonts w:hint="eastAsia"/>
          <w:color w:val="auto"/>
          <w:highlight w:val="none"/>
        </w:rPr>
        <w:t>居民养老保险实行属地化管理，社保机构、税务部门、乡镇（街道）服务中心具体经办，村（居）协办员协助办理。</w:t>
      </w:r>
    </w:p>
    <w:p w14:paraId="67579F4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olor w:val="auto"/>
          <w:highlight w:val="none"/>
        </w:rPr>
        <w:t>第四</w:t>
      </w:r>
      <w:r>
        <w:rPr>
          <w:rFonts w:ascii="黑体" w:hAnsi="黑体" w:eastAsia="黑体"/>
          <w:color w:val="auto"/>
          <w:highlight w:val="none"/>
        </w:rPr>
        <w:t>条</w:t>
      </w:r>
      <w:r>
        <w:rPr>
          <w:rFonts w:hint="eastAsia" w:ascii="黑体" w:hAnsi="黑体" w:eastAsia="黑体"/>
          <w:color w:val="auto"/>
          <w:highlight w:val="none"/>
        </w:rPr>
        <w:t xml:space="preserve"> </w:t>
      </w:r>
      <w:r>
        <w:rPr>
          <w:rFonts w:ascii="黑体" w:hAnsi="黑体" w:eastAsia="黑体"/>
          <w:color w:val="auto"/>
          <w:highlight w:val="none"/>
        </w:rPr>
        <w:t xml:space="preserve"> </w:t>
      </w:r>
      <w:r>
        <w:rPr>
          <w:rFonts w:hint="eastAsia"/>
          <w:color w:val="auto"/>
          <w:highlight w:val="none"/>
        </w:rPr>
        <w:t>市社保机构负责组织指导和监督评价本地区社保机构开展居民养老保险经办管理服务工作；负责本地区省级补助资金结算申报审核工作，配合财政部门做好财政补助资金的结算和划拨工作；按照基金管理层级，承担相应的基金申请和划拨、基金管理等工作；制定本地区居民养老保险核查和内控制度，组织开展核查和内控工作；规范、督导本地区居民养老保险待遇发放和社会化管理服务工作；编制、汇总、上报本地区居民养老保险基金预算和决算、财务和统计报表；负责居民养老保险个人权益记录管理和数据应用分析工作；组织开展人员培训；负责落实本地区个人账户记账利率，督促本地区社保机构及时进行年度计息等工作。</w:t>
      </w:r>
    </w:p>
    <w:p w14:paraId="69CE045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市税务部门负责组织指导和监督评价本地区居民养老保险费的征缴管理和服务工作；制定本地区居民养老保险征缴制度；编制、汇总、上报本地区</w:t>
      </w:r>
      <w:r>
        <w:rPr>
          <w:rFonts w:hint="eastAsia"/>
          <w:strike w:val="0"/>
          <w:color w:val="auto"/>
          <w:highlight w:val="none"/>
        </w:rPr>
        <w:t>税收会计</w:t>
      </w:r>
      <w:r>
        <w:rPr>
          <w:rFonts w:hint="eastAsia"/>
          <w:color w:val="auto"/>
          <w:highlight w:val="none"/>
        </w:rPr>
        <w:t>统计报表；组织开展人员培训；配合人社部门进行政策的宣传与咨询服务；持续优化征缴服务流程，推广多元化缴费渠道，提高征缴效率，加强管理服务。</w:t>
      </w:r>
    </w:p>
    <w:p w14:paraId="65A0398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olor w:val="auto"/>
          <w:highlight w:val="none"/>
        </w:rPr>
        <w:t>第五</w:t>
      </w:r>
      <w:r>
        <w:rPr>
          <w:rFonts w:ascii="黑体" w:hAnsi="黑体" w:eastAsia="黑体"/>
          <w:color w:val="auto"/>
          <w:highlight w:val="none"/>
        </w:rPr>
        <w:t>条</w:t>
      </w:r>
      <w:r>
        <w:rPr>
          <w:rFonts w:hint="eastAsia" w:ascii="黑体" w:hAnsi="黑体" w:eastAsia="黑体"/>
          <w:color w:val="auto"/>
          <w:highlight w:val="none"/>
        </w:rPr>
        <w:t xml:space="preserve"> </w:t>
      </w:r>
      <w:r>
        <w:rPr>
          <w:rFonts w:ascii="黑体" w:hAnsi="黑体" w:eastAsia="黑体"/>
          <w:color w:val="auto"/>
          <w:highlight w:val="none"/>
        </w:rPr>
        <w:t xml:space="preserve"> </w:t>
      </w:r>
      <w:r>
        <w:rPr>
          <w:rFonts w:hint="eastAsia"/>
          <w:color w:val="auto"/>
          <w:highlight w:val="none"/>
        </w:rPr>
        <w:t>县（市、区，以下简称县）社保机构负责居民养老保险的参保登记、参保信息变更、基金申请</w:t>
      </w:r>
      <w:r>
        <w:rPr>
          <w:rFonts w:hint="eastAsia"/>
          <w:color w:val="auto"/>
          <w:highlight w:val="none"/>
          <w:lang w:eastAsia="zh-CN"/>
        </w:rPr>
        <w:t>和</w:t>
      </w:r>
      <w:r>
        <w:rPr>
          <w:rFonts w:hint="eastAsia"/>
          <w:color w:val="auto"/>
          <w:highlight w:val="none"/>
        </w:rPr>
        <w:t>划拨、基金管理、个人账户建立与管理、待遇核定与支付、注销登记、跨省保险关系转移接续、省内个人账户归集、待遇享受资格认证、核查内控管理、档案管理、个人权益记录管理、年度计息、数据应用分析以及咨询、查询；负责本地区省级补助资金结算申报工作，编制、上报本级居民养老保险基金预算和决算、财务和统计报表，</w:t>
      </w:r>
      <w:r>
        <w:rPr>
          <w:rFonts w:hint="eastAsia"/>
          <w:color w:val="auto"/>
          <w:highlight w:val="none"/>
          <w:lang w:eastAsia="zh-CN"/>
        </w:rPr>
        <w:t>与</w:t>
      </w:r>
      <w:r>
        <w:rPr>
          <w:rFonts w:hint="eastAsia"/>
          <w:color w:val="auto"/>
          <w:highlight w:val="none"/>
        </w:rPr>
        <w:t>税务部门</w:t>
      </w:r>
      <w:r>
        <w:rPr>
          <w:rFonts w:hint="eastAsia"/>
          <w:color w:val="auto"/>
          <w:highlight w:val="none"/>
          <w:lang w:eastAsia="zh-CN"/>
        </w:rPr>
        <w:t>共同</w:t>
      </w:r>
      <w:r>
        <w:rPr>
          <w:rFonts w:hint="eastAsia"/>
          <w:color w:val="auto"/>
          <w:highlight w:val="none"/>
        </w:rPr>
        <w:t>做好保险费征缴衔接和业</w:t>
      </w:r>
      <w:r>
        <w:rPr>
          <w:color w:val="auto"/>
          <w:highlight w:val="none"/>
        </w:rPr>
        <w:t>务</w:t>
      </w:r>
      <w:r>
        <w:rPr>
          <w:rFonts w:hint="eastAsia"/>
          <w:color w:val="auto"/>
          <w:highlight w:val="none"/>
        </w:rPr>
        <w:t>对账；对乡镇（街道）服务中心的经办工作进行指导和监督评价；组织开展人员培训、政策宣传等工作（市社保机构直接经办居民养老保险业务的参照执行，下同）。</w:t>
      </w:r>
    </w:p>
    <w:p w14:paraId="670D965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县（市、区，以下简称县）税务部门负责居民养老保险正常申报缴费、开具缴费凭证和证明等；编制、汇总、上报本地区税收</w:t>
      </w:r>
      <w:r>
        <w:rPr>
          <w:color w:val="auto"/>
          <w:highlight w:val="none"/>
        </w:rPr>
        <w:t>会计统计</w:t>
      </w:r>
      <w:r>
        <w:rPr>
          <w:rFonts w:hint="eastAsia"/>
          <w:color w:val="auto"/>
          <w:highlight w:val="none"/>
        </w:rPr>
        <w:t>报表；</w:t>
      </w:r>
      <w:r>
        <w:rPr>
          <w:rFonts w:hint="eastAsia"/>
          <w:color w:val="auto"/>
          <w:highlight w:val="none"/>
          <w:lang w:eastAsia="zh-CN"/>
        </w:rPr>
        <w:t>与</w:t>
      </w:r>
      <w:r>
        <w:rPr>
          <w:rFonts w:hint="eastAsia"/>
          <w:color w:val="auto"/>
          <w:highlight w:val="none"/>
        </w:rPr>
        <w:t>社保机构</w:t>
      </w:r>
      <w:r>
        <w:rPr>
          <w:rFonts w:hint="eastAsia"/>
          <w:color w:val="auto"/>
          <w:highlight w:val="none"/>
          <w:lang w:eastAsia="zh-CN"/>
        </w:rPr>
        <w:t>共同</w:t>
      </w:r>
      <w:r>
        <w:rPr>
          <w:rFonts w:hint="eastAsia"/>
          <w:color w:val="auto"/>
          <w:highlight w:val="none"/>
        </w:rPr>
        <w:t>做好保险费征缴衔接</w:t>
      </w:r>
      <w:r>
        <w:rPr>
          <w:rFonts w:hint="eastAsia"/>
          <w:color w:val="auto"/>
          <w:highlight w:val="none"/>
          <w:lang w:eastAsia="zh-CN"/>
        </w:rPr>
        <w:t>和业务对账</w:t>
      </w:r>
      <w:r>
        <w:rPr>
          <w:rFonts w:hint="eastAsia"/>
          <w:color w:val="auto"/>
          <w:highlight w:val="none"/>
        </w:rPr>
        <w:t>；配合社保机构做好政策宣传；对税务分局（所）征缴工作进行指导和监督评价；组织开展人员培训等工作（市级税务部门直接征缴居民养老保险费的参照执行，下同）。</w:t>
      </w:r>
    </w:p>
    <w:p w14:paraId="17303E3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乡镇（街道）服务中心负责居民养老保险参保资源的调查和管理，对参保人员的参保资格、基本信息、补缴申请、待遇申请、注销登记申请、待遇享受资格及关系转移资格等进行初审，将有关信息录入信息系统；整理上报居民养老保险业务档案资料；负责受理咨询、查询</w:t>
      </w:r>
      <w:r>
        <w:rPr>
          <w:rFonts w:hint="eastAsia"/>
          <w:color w:val="auto"/>
          <w:highlight w:val="none"/>
          <w:lang w:eastAsia="zh-CN"/>
        </w:rPr>
        <w:t>、</w:t>
      </w:r>
      <w:r>
        <w:rPr>
          <w:rFonts w:hint="eastAsia"/>
          <w:color w:val="auto"/>
          <w:highlight w:val="none"/>
        </w:rPr>
        <w:t>政策宣传、情况公示等工作，</w:t>
      </w:r>
      <w:r>
        <w:rPr>
          <w:color w:val="auto"/>
          <w:highlight w:val="none"/>
        </w:rPr>
        <w:t>对村（居）</w:t>
      </w:r>
      <w:r>
        <w:rPr>
          <w:rFonts w:hint="eastAsia"/>
          <w:color w:val="auto"/>
          <w:highlight w:val="none"/>
        </w:rPr>
        <w:t>协</w:t>
      </w:r>
      <w:r>
        <w:rPr>
          <w:color w:val="auto"/>
          <w:highlight w:val="none"/>
        </w:rPr>
        <w:t>办员经办工作</w:t>
      </w:r>
      <w:r>
        <w:rPr>
          <w:rFonts w:hint="eastAsia"/>
          <w:color w:val="auto"/>
          <w:highlight w:val="none"/>
        </w:rPr>
        <w:t>进行</w:t>
      </w:r>
      <w:r>
        <w:rPr>
          <w:color w:val="auto"/>
          <w:highlight w:val="none"/>
        </w:rPr>
        <w:t>指导</w:t>
      </w:r>
      <w:r>
        <w:rPr>
          <w:rFonts w:hint="eastAsia"/>
          <w:color w:val="auto"/>
          <w:highlight w:val="none"/>
        </w:rPr>
        <w:t>；协助县社保机构做好待遇享受资格认证，协助</w:t>
      </w:r>
      <w:r>
        <w:rPr>
          <w:color w:val="auto"/>
          <w:highlight w:val="none"/>
        </w:rPr>
        <w:t>税务部门做好缴费动员</w:t>
      </w:r>
      <w:r>
        <w:rPr>
          <w:rFonts w:hint="eastAsia"/>
          <w:color w:val="auto"/>
          <w:highlight w:val="none"/>
        </w:rPr>
        <w:t>、申报等工作。</w:t>
      </w:r>
    </w:p>
    <w:p w14:paraId="5E9EAD9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税务分局（所）负责辖区内居民养老保险缴费信息查询、政策宣传、保险费征缴、缴费辅导等工作；加强与当地乡镇（街道）政府及乡镇（街道）服务中心的沟通，协同做好政策宣传与咨询等工作。</w:t>
      </w:r>
    </w:p>
    <w:p w14:paraId="425C387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村（居）协办员具体负责居民养老保险参保登记、待遇申请、注销登记、保险关系转移接续等业务环节所需材料的收集与上报，负责向参保人员发放有关材料，通知参保人员及时办理缴费</w:t>
      </w:r>
      <w:r>
        <w:rPr>
          <w:color w:val="auto"/>
          <w:highlight w:val="none"/>
        </w:rPr>
        <w:t>、</w:t>
      </w:r>
      <w:r>
        <w:rPr>
          <w:rFonts w:hint="eastAsia"/>
          <w:color w:val="auto"/>
          <w:highlight w:val="none"/>
        </w:rPr>
        <w:t>补缴和待遇享受手续，协助做好政策宣传与解释、待遇享受资格认证、摸底调查、居民基本信息采集和情况公示等工作。</w:t>
      </w:r>
    </w:p>
    <w:p w14:paraId="5520DC7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olor w:val="auto"/>
          <w:highlight w:val="none"/>
        </w:rPr>
        <w:t>第六</w:t>
      </w:r>
      <w:r>
        <w:rPr>
          <w:rFonts w:ascii="黑体" w:hAnsi="黑体" w:eastAsia="黑体"/>
          <w:color w:val="auto"/>
          <w:highlight w:val="none"/>
        </w:rPr>
        <w:t>条</w:t>
      </w:r>
      <w:r>
        <w:rPr>
          <w:rFonts w:hint="eastAsia" w:ascii="黑体" w:hAnsi="黑体" w:eastAsia="黑体"/>
          <w:color w:val="auto"/>
          <w:highlight w:val="none"/>
        </w:rPr>
        <w:t xml:space="preserve"> </w:t>
      </w:r>
      <w:r>
        <w:rPr>
          <w:rFonts w:ascii="黑体" w:hAnsi="黑体" w:eastAsia="黑体"/>
          <w:color w:val="auto"/>
          <w:highlight w:val="none"/>
        </w:rPr>
        <w:t xml:space="preserve"> </w:t>
      </w:r>
      <w:r>
        <w:rPr>
          <w:rFonts w:hint="eastAsia"/>
          <w:color w:val="auto"/>
          <w:highlight w:val="none"/>
        </w:rPr>
        <w:t>社保机构可创新管理服务模式，委托符合条件</w:t>
      </w:r>
      <w:r>
        <w:rPr>
          <w:color w:val="auto"/>
          <w:highlight w:val="none"/>
        </w:rPr>
        <w:t>的机构</w:t>
      </w:r>
      <w:r>
        <w:rPr>
          <w:rFonts w:hint="eastAsia"/>
          <w:color w:val="auto"/>
          <w:highlight w:val="none"/>
        </w:rPr>
        <w:t>帮办代办居民养老保险参保登记、参保信息变更、补缴申请、待遇申请、注销登记申请、关系转移接续申请、待遇享受资格认证、业务咨询等业务。</w:t>
      </w:r>
    </w:p>
    <w:p w14:paraId="0CA602D9">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黑体" w:hAnsi="黑体" w:eastAsia="黑体" w:cs="黑体"/>
          <w:color w:val="auto"/>
          <w:kern w:val="0"/>
          <w:szCs w:val="32"/>
          <w:highlight w:val="none"/>
        </w:rPr>
        <w:t xml:space="preserve">第七条  </w:t>
      </w:r>
      <w:r>
        <w:rPr>
          <w:rFonts w:hint="eastAsia" w:ascii="仿宋_GB2312" w:hAnsi="仿宋_GB2312" w:eastAsia="仿宋_GB2312" w:cs="仿宋_GB2312"/>
          <w:color w:val="auto"/>
          <w:kern w:val="0"/>
          <w:szCs w:val="32"/>
          <w:highlight w:val="none"/>
        </w:rPr>
        <w:t>参保人员办理居民养老保险业务，可通过“爱山东”政务服务平台</w:t>
      </w:r>
      <w:r>
        <w:rPr>
          <w:rFonts w:hint="eastAsia" w:ascii="仿宋_GB2312" w:hAnsi="仿宋_GB2312" w:eastAsia="仿宋_GB2312" w:cs="仿宋_GB2312"/>
          <w:color w:val="auto"/>
          <w:kern w:val="0"/>
          <w:szCs w:val="32"/>
          <w:highlight w:val="none"/>
          <w:lang w:val="en-US" w:eastAsia="zh-CN"/>
        </w:rPr>
        <w:t>或</w:t>
      </w:r>
      <w:r>
        <w:rPr>
          <w:rFonts w:hint="eastAsia" w:ascii="仿宋_GB2312" w:hAnsi="仿宋_GB2312" w:eastAsia="仿宋_GB2312" w:cs="仿宋_GB2312"/>
          <w:color w:val="auto"/>
          <w:kern w:val="0"/>
          <w:szCs w:val="32"/>
          <w:highlight w:val="none"/>
        </w:rPr>
        <w:t>移动端、人社和税务部门提供的网站、手机APP等服务渠道（以下简称线上服务渠道）线上办理</w:t>
      </w:r>
      <w:r>
        <w:rPr>
          <w:rFonts w:hint="eastAsia" w:ascii="仿宋_GB2312" w:hAnsi="仿宋_GB2312" w:eastAsia="仿宋_GB2312" w:cs="仿宋_GB2312"/>
          <w:color w:val="auto"/>
          <w:kern w:val="0"/>
          <w:szCs w:val="32"/>
          <w:highlight w:val="none"/>
          <w:lang w:val="en-US" w:eastAsia="zh-CN"/>
        </w:rPr>
        <w:t>；</w:t>
      </w:r>
      <w:r>
        <w:rPr>
          <w:rFonts w:hint="eastAsia" w:ascii="仿宋_GB2312" w:hAnsi="仿宋_GB2312" w:eastAsia="仿宋_GB2312" w:cs="仿宋_GB2312"/>
          <w:color w:val="auto"/>
          <w:kern w:val="0"/>
          <w:szCs w:val="32"/>
          <w:highlight w:val="none"/>
        </w:rPr>
        <w:t>也可以通过户籍地的村（居）协办员、乡镇（街道）服务中心、县社保机构、县税务部门和符合条件的机构等服务渠道（以下简称线下服务渠道）现场办理。</w:t>
      </w:r>
    </w:p>
    <w:p w14:paraId="6F385990">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黑体" w:hAnsi="黑体" w:eastAsia="黑体" w:cs="黑体"/>
          <w:color w:val="auto"/>
          <w:kern w:val="0"/>
          <w:szCs w:val="32"/>
          <w:highlight w:val="none"/>
        </w:rPr>
        <w:t>第八条</w:t>
      </w:r>
      <w:r>
        <w:rPr>
          <w:rFonts w:hint="eastAsia" w:hAnsi="仿宋_GB2312" w:cs="仿宋_GB2312"/>
          <w:color w:val="auto"/>
          <w:kern w:val="0"/>
          <w:szCs w:val="32"/>
          <w:highlight w:val="none"/>
        </w:rPr>
        <w:t xml:space="preserve"> </w:t>
      </w:r>
      <w:r>
        <w:rPr>
          <w:rFonts w:hint="eastAsia" w:ascii="仿宋_GB2312" w:hAnsi="仿宋_GB2312" w:eastAsia="仿宋_GB2312" w:cs="仿宋_GB2312"/>
          <w:color w:val="auto"/>
          <w:kern w:val="0"/>
          <w:szCs w:val="32"/>
          <w:highlight w:val="none"/>
        </w:rPr>
        <w:t xml:space="preserve"> 社保机构应当落实减证便民措施，</w:t>
      </w:r>
      <w:r>
        <w:rPr>
          <w:rFonts w:hint="eastAsia" w:ascii="仿宋_GB2312" w:hAnsi="仿宋_GB2312" w:eastAsia="仿宋_GB2312" w:cs="仿宋_GB2312"/>
          <w:color w:val="auto"/>
          <w:kern w:val="0"/>
          <w:szCs w:val="32"/>
          <w:highlight w:val="none"/>
          <w:lang w:eastAsia="zh-CN"/>
        </w:rPr>
        <w:t>可</w:t>
      </w:r>
      <w:r>
        <w:rPr>
          <w:rFonts w:hint="eastAsia" w:ascii="仿宋_GB2312" w:hAnsi="仿宋_GB2312" w:eastAsia="仿宋_GB2312" w:cs="仿宋_GB2312"/>
          <w:color w:val="auto"/>
          <w:kern w:val="0"/>
          <w:szCs w:val="32"/>
          <w:highlight w:val="none"/>
        </w:rPr>
        <w:t>通过信息共享或数据比对获取的证明材料</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rPr>
        <w:t>不得要求参保人员提供。信息共享或现场受理等渠道获取的数据资料应当在信息系统中留存。</w:t>
      </w:r>
    </w:p>
    <w:p w14:paraId="25ED7179">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参保人员通过承诺制办理的业务，社保机构应</w:t>
      </w:r>
      <w:r>
        <w:rPr>
          <w:rFonts w:hint="eastAsia" w:ascii="仿宋_GB2312" w:hAnsi="仿宋_GB2312" w:eastAsia="仿宋_GB2312" w:cs="仿宋_GB2312"/>
          <w:color w:val="auto"/>
          <w:kern w:val="0"/>
          <w:szCs w:val="32"/>
          <w:highlight w:val="none"/>
          <w:lang w:val="en-US" w:eastAsia="zh-CN"/>
        </w:rPr>
        <w:t>当</w:t>
      </w:r>
      <w:r>
        <w:rPr>
          <w:rFonts w:hint="eastAsia" w:ascii="仿宋_GB2312" w:hAnsi="仿宋_GB2312" w:eastAsia="仿宋_GB2312" w:cs="仿宋_GB2312"/>
          <w:color w:val="auto"/>
          <w:kern w:val="0"/>
          <w:szCs w:val="32"/>
          <w:highlight w:val="none"/>
        </w:rPr>
        <w:t>及时对承诺信息进行事后核验。</w:t>
      </w:r>
    </w:p>
    <w:p w14:paraId="03685A8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p>
    <w:p w14:paraId="1EC35E0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highlight w:val="none"/>
        </w:rPr>
      </w:pPr>
      <w:r>
        <w:rPr>
          <w:rFonts w:hint="eastAsia" w:ascii="黑体" w:hAnsi="黑体" w:eastAsia="黑体" w:cs="黑体"/>
          <w:bCs/>
          <w:color w:val="auto"/>
          <w:highlight w:val="none"/>
        </w:rPr>
        <w:t>第二章  参保登记</w:t>
      </w:r>
    </w:p>
    <w:p w14:paraId="7FA4321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center"/>
        <w:textAlignment w:val="auto"/>
        <w:rPr>
          <w:rFonts w:ascii="黑体" w:hAnsi="黑体" w:eastAsia="黑体" w:cs="黑体"/>
          <w:bCs/>
          <w:color w:val="auto"/>
          <w:highlight w:val="none"/>
        </w:rPr>
      </w:pPr>
    </w:p>
    <w:p w14:paraId="3530972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default" w:eastAsia="仿宋_GB2312"/>
          <w:color w:val="auto"/>
          <w:highlight w:val="none"/>
          <w:lang w:val="en-US" w:eastAsia="zh-CN"/>
        </w:rPr>
      </w:pPr>
      <w:r>
        <w:rPr>
          <w:rFonts w:hint="eastAsia" w:ascii="黑体" w:hAnsi="黑体" w:eastAsia="黑体" w:cs="黑体"/>
          <w:color w:val="auto"/>
          <w:highlight w:val="none"/>
        </w:rPr>
        <w:t>第九条</w:t>
      </w:r>
      <w:r>
        <w:rPr>
          <w:rFonts w:hint="eastAsia"/>
          <w:color w:val="auto"/>
          <w:highlight w:val="none"/>
        </w:rPr>
        <w:t xml:space="preserve">  符合参加居民养老保险条件的居民在户籍地参加居民养老保险，可通过线上</w:t>
      </w:r>
      <w:r>
        <w:rPr>
          <w:rFonts w:hint="eastAsia"/>
          <w:color w:val="auto"/>
          <w:highlight w:val="none"/>
          <w:lang w:val="en-US" w:eastAsia="zh-CN"/>
        </w:rPr>
        <w:t>或</w:t>
      </w:r>
      <w:r>
        <w:rPr>
          <w:rFonts w:hint="eastAsia"/>
          <w:color w:val="auto"/>
          <w:highlight w:val="none"/>
        </w:rPr>
        <w:t>线下服务渠道办理。</w:t>
      </w:r>
    </w:p>
    <w:p w14:paraId="7F3D402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color w:val="auto"/>
          <w:highlight w:val="none"/>
        </w:rPr>
      </w:pPr>
      <w:r>
        <w:rPr>
          <w:rFonts w:hint="eastAsia"/>
          <w:color w:val="auto"/>
          <w:highlight w:val="none"/>
        </w:rPr>
        <w:t>线上服务渠道办理的，利用人脸识别等方式实名认证后，</w:t>
      </w:r>
      <w:r>
        <w:rPr>
          <w:rFonts w:hint="eastAsia"/>
          <w:color w:val="auto"/>
          <w:highlight w:val="none"/>
          <w:lang w:eastAsia="zh-CN"/>
        </w:rPr>
        <w:t>通过</w:t>
      </w:r>
      <w:r>
        <w:rPr>
          <w:rFonts w:hint="eastAsia"/>
          <w:color w:val="auto"/>
          <w:highlight w:val="none"/>
        </w:rPr>
        <w:t>共享数据进行户籍信息核验，无法</w:t>
      </w:r>
      <w:r>
        <w:rPr>
          <w:rFonts w:hint="eastAsia"/>
          <w:color w:val="auto"/>
          <w:highlight w:val="none"/>
          <w:lang w:eastAsia="zh-CN"/>
        </w:rPr>
        <w:t>核验</w:t>
      </w:r>
      <w:r>
        <w:rPr>
          <w:rFonts w:hint="eastAsia"/>
          <w:color w:val="auto"/>
          <w:highlight w:val="none"/>
        </w:rPr>
        <w:t>户籍信息的，上传户口簿首页及本人页，填写相关信息，申请参保登记。</w:t>
      </w:r>
    </w:p>
    <w:p w14:paraId="634C7C9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线下服务渠道办理的，利用人脸识别等方式实名认证或提供有效身份证件，</w:t>
      </w:r>
      <w:r>
        <w:rPr>
          <w:rFonts w:hint="eastAsia"/>
          <w:color w:val="auto"/>
          <w:highlight w:val="none"/>
          <w:lang w:eastAsia="zh-CN"/>
        </w:rPr>
        <w:t>通过</w:t>
      </w:r>
      <w:r>
        <w:rPr>
          <w:rFonts w:hint="eastAsia"/>
          <w:color w:val="auto"/>
          <w:highlight w:val="none"/>
        </w:rPr>
        <w:t>共享数据进行户籍信息核验，无法</w:t>
      </w:r>
      <w:r>
        <w:rPr>
          <w:rFonts w:hint="eastAsia"/>
          <w:color w:val="auto"/>
          <w:highlight w:val="none"/>
          <w:lang w:eastAsia="zh-CN"/>
        </w:rPr>
        <w:t>核验</w:t>
      </w:r>
      <w:r>
        <w:rPr>
          <w:rFonts w:hint="eastAsia"/>
          <w:color w:val="auto"/>
          <w:highlight w:val="none"/>
        </w:rPr>
        <w:t>户籍信息的，提供户口簿首页及本人页，填写《居民基本养老保险参保登记表》（以下简称《参</w:t>
      </w:r>
      <w:r>
        <w:rPr>
          <w:color w:val="auto"/>
          <w:highlight w:val="none"/>
        </w:rPr>
        <w:t>保</w:t>
      </w:r>
      <w:r>
        <w:rPr>
          <w:rFonts w:hint="eastAsia"/>
          <w:color w:val="auto"/>
          <w:highlight w:val="none"/>
        </w:rPr>
        <w:t>登记表》，附件1），现场申请。乡镇（街道）服务中心工作人员或村（居）协办员上传相关信息或按规定时限将相关材料逐级上报。</w:t>
      </w:r>
    </w:p>
    <w:p w14:paraId="1B15053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lang w:eastAsia="zh-CN"/>
        </w:rPr>
        <w:t>通过</w:t>
      </w:r>
      <w:r>
        <w:rPr>
          <w:rFonts w:hint="eastAsia"/>
          <w:color w:val="auto"/>
          <w:highlight w:val="none"/>
        </w:rPr>
        <w:t>“全省通办”</w:t>
      </w:r>
      <w:r>
        <w:rPr>
          <w:rFonts w:hint="eastAsia"/>
          <w:color w:val="auto"/>
          <w:highlight w:val="none"/>
          <w:lang w:eastAsia="zh-CN"/>
        </w:rPr>
        <w:t>办理的，</w:t>
      </w:r>
      <w:r>
        <w:rPr>
          <w:rFonts w:hint="eastAsia"/>
          <w:color w:val="auto"/>
          <w:highlight w:val="none"/>
        </w:rPr>
        <w:t>可在全省任</w:t>
      </w:r>
      <w:r>
        <w:rPr>
          <w:rFonts w:hint="eastAsia"/>
          <w:color w:val="auto"/>
          <w:highlight w:val="none"/>
          <w:lang w:eastAsia="zh-CN"/>
        </w:rPr>
        <w:t>一</w:t>
      </w:r>
      <w:r>
        <w:rPr>
          <w:rFonts w:hint="eastAsia"/>
          <w:color w:val="auto"/>
          <w:highlight w:val="none"/>
        </w:rPr>
        <w:t>县社保机构或乡镇（街道）服务中心办理，利用人脸识别等方式实名认证或提供有效身份证件，</w:t>
      </w:r>
      <w:r>
        <w:rPr>
          <w:rFonts w:hint="eastAsia"/>
          <w:color w:val="auto"/>
          <w:highlight w:val="none"/>
          <w:lang w:eastAsia="zh-CN"/>
        </w:rPr>
        <w:t>通过</w:t>
      </w:r>
      <w:r>
        <w:rPr>
          <w:rFonts w:hint="eastAsia"/>
          <w:color w:val="auto"/>
          <w:highlight w:val="none"/>
        </w:rPr>
        <w:t>共享数据进行户籍信息核验，无法</w:t>
      </w:r>
      <w:r>
        <w:rPr>
          <w:rFonts w:hint="eastAsia"/>
          <w:color w:val="auto"/>
          <w:highlight w:val="none"/>
          <w:lang w:eastAsia="zh-CN"/>
        </w:rPr>
        <w:t>核验</w:t>
      </w:r>
      <w:r>
        <w:rPr>
          <w:rFonts w:hint="eastAsia"/>
          <w:color w:val="auto"/>
          <w:highlight w:val="none"/>
        </w:rPr>
        <w:t>户籍信息的，提供户口簿首页及本人页，填写《参保登记表》，申请参保登记。非户籍地县社保机构或乡镇（街道）服务中心受理并初审后，将相关信息录入系统，扫描上传《参保登记表》等材料，推送至户籍地县社保机构审核办理。户籍地县社保机构负责向申请人反馈办理结果。</w:t>
      </w:r>
    </w:p>
    <w:p w14:paraId="3BD1BC7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符合条件的港澳台居民、外国人参加居民养老保险的按有关规定执行。</w:t>
      </w:r>
    </w:p>
    <w:p w14:paraId="5D7433A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第十条</w:t>
      </w:r>
      <w:r>
        <w:rPr>
          <w:rFonts w:hint="eastAsia"/>
          <w:color w:val="auto"/>
          <w:highlight w:val="none"/>
        </w:rPr>
        <w:t xml:space="preserve">  乡镇（街道）服务中心或县社保机构通过数据比对等方式进行参保资格审核，自收到参保申请之日起3个工作日内办理完毕，并将结果告知申请人，或者提供办理情况查询服务。</w:t>
      </w:r>
    </w:p>
    <w:p w14:paraId="204DB65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第十一条</w:t>
      </w:r>
      <w:r>
        <w:rPr>
          <w:rFonts w:hint="eastAsia"/>
          <w:color w:val="auto"/>
          <w:highlight w:val="none"/>
        </w:rPr>
        <w:t xml:space="preserve">  参保人员参保信息发生变化的，应当及时告知社保机构。县社保机构应当对个人提供的参保信息与共享信息进行比对核实。</w:t>
      </w:r>
    </w:p>
    <w:p w14:paraId="7CF28555">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参保人员的民族、居住地址、联系电话等非关键信息发生变化时，可通过线上或线下服务渠道直接变更，无需审核。</w:t>
      </w:r>
    </w:p>
    <w:p w14:paraId="518831F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参保人员的姓名、出生日期、有效身份证件号码等关键信息发生变化时，本人可通过线上或线下服务渠道申请变更。</w:t>
      </w:r>
    </w:p>
    <w:p w14:paraId="6E1D4F5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color w:val="auto"/>
          <w:highlight w:val="none"/>
        </w:rPr>
      </w:pPr>
      <w:r>
        <w:rPr>
          <w:rFonts w:hint="eastAsia"/>
          <w:color w:val="auto"/>
          <w:highlight w:val="none"/>
        </w:rPr>
        <w:t>线上服务渠道办理的，利用人脸识别等方式实名认证</w:t>
      </w:r>
      <w:r>
        <w:rPr>
          <w:rFonts w:hint="eastAsia"/>
          <w:color w:val="auto"/>
          <w:highlight w:val="none"/>
          <w:lang w:val="en-US" w:eastAsia="zh-CN"/>
        </w:rPr>
        <w:t>后</w:t>
      </w:r>
      <w:r>
        <w:rPr>
          <w:rFonts w:hint="eastAsia"/>
          <w:color w:val="auto"/>
          <w:highlight w:val="none"/>
        </w:rPr>
        <w:t>，</w:t>
      </w:r>
      <w:r>
        <w:rPr>
          <w:rFonts w:hint="eastAsia"/>
          <w:color w:val="auto"/>
          <w:highlight w:val="none"/>
          <w:lang w:eastAsia="zh-CN"/>
        </w:rPr>
        <w:t>通过</w:t>
      </w:r>
      <w:r>
        <w:rPr>
          <w:rFonts w:hint="eastAsia"/>
          <w:color w:val="auto"/>
          <w:highlight w:val="none"/>
        </w:rPr>
        <w:t>共享数据进行变更信息核验，无法</w:t>
      </w:r>
      <w:r>
        <w:rPr>
          <w:rFonts w:hint="eastAsia"/>
          <w:color w:val="auto"/>
          <w:highlight w:val="none"/>
          <w:lang w:eastAsia="zh-CN"/>
        </w:rPr>
        <w:t>核验</w:t>
      </w:r>
      <w:r>
        <w:rPr>
          <w:rFonts w:hint="eastAsia"/>
          <w:color w:val="auto"/>
          <w:highlight w:val="none"/>
        </w:rPr>
        <w:t>变更信息的，上传公安部门出具的变更证明，填写变更信息，提出变更申请。</w:t>
      </w:r>
    </w:p>
    <w:p w14:paraId="7CCFF63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线下服务渠道办理的，利用人脸识别等方式实名认证或提供有效身份证件，</w:t>
      </w:r>
      <w:r>
        <w:rPr>
          <w:rFonts w:hint="eastAsia"/>
          <w:color w:val="auto"/>
          <w:highlight w:val="none"/>
          <w:lang w:eastAsia="zh-CN"/>
        </w:rPr>
        <w:t>通过</w:t>
      </w:r>
      <w:r>
        <w:rPr>
          <w:rFonts w:hint="eastAsia"/>
          <w:color w:val="auto"/>
          <w:highlight w:val="none"/>
        </w:rPr>
        <w:t>共享数据进行变更信息核验，无法</w:t>
      </w:r>
      <w:r>
        <w:rPr>
          <w:rFonts w:hint="eastAsia"/>
          <w:color w:val="auto"/>
          <w:highlight w:val="none"/>
          <w:lang w:eastAsia="zh-CN"/>
        </w:rPr>
        <w:t>核验</w:t>
      </w:r>
      <w:r>
        <w:rPr>
          <w:rFonts w:hint="eastAsia"/>
          <w:color w:val="auto"/>
          <w:highlight w:val="none"/>
        </w:rPr>
        <w:t>变更信息的，提供公安部门出具的变更证明，填写《参保登记表》变更信息，现场申请，乡镇（街道）服务中心或县社保机构初审后，将相关信息录入系统。</w:t>
      </w:r>
    </w:p>
    <w:p w14:paraId="795D42D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县社保机构通过数据比对等方式，对变更申请进行审核，自收到变更申请之日起3个工作日内办理完毕，并将结果告知参保人员，或者提供办理情况查询服务。审核通过的，应</w:t>
      </w:r>
      <w:r>
        <w:rPr>
          <w:rFonts w:hint="eastAsia"/>
          <w:color w:val="auto"/>
          <w:highlight w:val="none"/>
          <w:lang w:val="en-US" w:eastAsia="zh-CN"/>
        </w:rPr>
        <w:t>当</w:t>
      </w:r>
      <w:r>
        <w:rPr>
          <w:rFonts w:hint="eastAsia"/>
          <w:color w:val="auto"/>
          <w:highlight w:val="none"/>
        </w:rPr>
        <w:t>同时在信息系统中进行确认，及</w:t>
      </w:r>
      <w:r>
        <w:rPr>
          <w:color w:val="auto"/>
          <w:highlight w:val="none"/>
        </w:rPr>
        <w:t>时通过</w:t>
      </w:r>
      <w:r>
        <w:rPr>
          <w:rFonts w:hint="eastAsia"/>
          <w:color w:val="auto"/>
          <w:highlight w:val="none"/>
          <w:lang w:eastAsia="zh-CN"/>
        </w:rPr>
        <w:t>社会保险费</w:t>
      </w:r>
      <w:r>
        <w:rPr>
          <w:rFonts w:hint="eastAsia"/>
          <w:color w:val="auto"/>
          <w:highlight w:val="none"/>
        </w:rPr>
        <w:t>信息</w:t>
      </w:r>
      <w:r>
        <w:rPr>
          <w:color w:val="auto"/>
          <w:highlight w:val="none"/>
        </w:rPr>
        <w:t>共享平台</w:t>
      </w:r>
      <w:r>
        <w:rPr>
          <w:rFonts w:hint="eastAsia"/>
          <w:color w:val="auto"/>
          <w:highlight w:val="none"/>
          <w:lang w:eastAsia="zh-CN"/>
        </w:rPr>
        <w:t>（以下简称信息共享平台）</w:t>
      </w:r>
      <w:r>
        <w:rPr>
          <w:rFonts w:hint="eastAsia"/>
          <w:color w:val="auto"/>
          <w:highlight w:val="none"/>
          <w:lang w:val="en-US" w:eastAsia="zh-CN"/>
        </w:rPr>
        <w:t>传递</w:t>
      </w:r>
      <w:r>
        <w:rPr>
          <w:color w:val="auto"/>
          <w:highlight w:val="none"/>
        </w:rPr>
        <w:t>给税务</w:t>
      </w:r>
      <w:r>
        <w:rPr>
          <w:rFonts w:hint="eastAsia"/>
          <w:color w:val="auto"/>
          <w:highlight w:val="none"/>
        </w:rPr>
        <w:t>部门，留存新的《参保登记表》、有效身份证件和相关证明材料。</w:t>
      </w:r>
    </w:p>
    <w:p w14:paraId="6684F1D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第十二条</w:t>
      </w:r>
      <w:r>
        <w:rPr>
          <w:rFonts w:hint="eastAsia"/>
          <w:color w:val="auto"/>
          <w:highlight w:val="none"/>
        </w:rPr>
        <w:t xml:space="preserve">  人员类别是参保人员享受居民养老保险政策的依据，包括：普通参保人、重度残疾人、低保对象、特困人员等。人员类别由乡镇（街道）服务中心或县社保机构根据相关部门的共享信息在信息系统中予以标识或变更，及</w:t>
      </w:r>
      <w:r>
        <w:rPr>
          <w:bCs/>
          <w:color w:val="auto"/>
          <w:highlight w:val="none"/>
        </w:rPr>
        <w:t>时通过</w:t>
      </w:r>
      <w:r>
        <w:rPr>
          <w:rFonts w:hint="eastAsia"/>
          <w:bCs/>
          <w:color w:val="auto"/>
          <w:highlight w:val="none"/>
        </w:rPr>
        <w:t>信息</w:t>
      </w:r>
      <w:r>
        <w:rPr>
          <w:bCs/>
          <w:color w:val="auto"/>
          <w:highlight w:val="none"/>
        </w:rPr>
        <w:t>共享平台</w:t>
      </w:r>
      <w:r>
        <w:rPr>
          <w:rFonts w:hint="eastAsia"/>
          <w:bCs/>
          <w:color w:val="auto"/>
          <w:highlight w:val="none"/>
          <w:lang w:val="en-US" w:eastAsia="zh-CN"/>
        </w:rPr>
        <w:t>传递</w:t>
      </w:r>
      <w:r>
        <w:rPr>
          <w:bCs/>
          <w:color w:val="auto"/>
          <w:highlight w:val="none"/>
        </w:rPr>
        <w:t>给税务</w:t>
      </w:r>
      <w:r>
        <w:rPr>
          <w:rFonts w:hint="eastAsia"/>
          <w:bCs/>
          <w:color w:val="auto"/>
          <w:highlight w:val="none"/>
        </w:rPr>
        <w:t>部门，</w:t>
      </w:r>
      <w:r>
        <w:rPr>
          <w:rFonts w:hint="eastAsia"/>
          <w:color w:val="auto"/>
          <w:highlight w:val="none"/>
        </w:rPr>
        <w:t>无需本人办理。</w:t>
      </w:r>
    </w:p>
    <w:p w14:paraId="56669B26">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参保人员有多个人员类别的应</w:t>
      </w:r>
      <w:r>
        <w:rPr>
          <w:rFonts w:hint="eastAsia" w:ascii="仿宋_GB2312" w:hAnsi="仿宋_GB2312" w:eastAsia="仿宋_GB2312" w:cs="仿宋_GB2312"/>
          <w:color w:val="auto"/>
          <w:kern w:val="0"/>
          <w:szCs w:val="32"/>
          <w:highlight w:val="none"/>
          <w:lang w:val="en-US" w:eastAsia="zh-CN"/>
        </w:rPr>
        <w:t>当</w:t>
      </w:r>
      <w:r>
        <w:rPr>
          <w:rFonts w:hint="eastAsia" w:ascii="仿宋_GB2312" w:hAnsi="仿宋_GB2312" w:eastAsia="仿宋_GB2312" w:cs="仿宋_GB2312"/>
          <w:color w:val="auto"/>
          <w:kern w:val="0"/>
          <w:szCs w:val="32"/>
          <w:highlight w:val="none"/>
        </w:rPr>
        <w:t>同时记录。</w:t>
      </w:r>
    </w:p>
    <w:p w14:paraId="05A5899B">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社保机构增加或减少人员类别的，应</w:t>
      </w:r>
      <w:r>
        <w:rPr>
          <w:rFonts w:hint="eastAsia" w:ascii="仿宋_GB2312" w:hAnsi="仿宋_GB2312" w:eastAsia="仿宋_GB2312" w:cs="仿宋_GB2312"/>
          <w:color w:val="auto"/>
          <w:kern w:val="0"/>
          <w:szCs w:val="32"/>
          <w:highlight w:val="none"/>
          <w:lang w:val="en-US" w:eastAsia="zh-CN"/>
        </w:rPr>
        <w:t>当</w:t>
      </w:r>
      <w:r>
        <w:rPr>
          <w:rFonts w:hint="eastAsia" w:ascii="仿宋_GB2312" w:hAnsi="仿宋_GB2312" w:eastAsia="仿宋_GB2312" w:cs="仿宋_GB2312"/>
          <w:color w:val="auto"/>
          <w:kern w:val="0"/>
          <w:szCs w:val="32"/>
          <w:highlight w:val="none"/>
        </w:rPr>
        <w:t>向省社保机构提出申请并提供相关政策文件，省社保机构审核通过后予以办理。</w:t>
      </w:r>
    </w:p>
    <w:p w14:paraId="6D271E3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参保人员对人员类别有异议的，可以通过线下服务渠道提供证据，提出核查申请。县社保机构接到申请后，应</w:t>
      </w:r>
      <w:r>
        <w:rPr>
          <w:rFonts w:hint="eastAsia" w:ascii="仿宋_GB2312" w:hAnsi="仿宋_GB2312" w:eastAsia="仿宋_GB2312" w:cs="仿宋_GB2312"/>
          <w:color w:val="auto"/>
          <w:highlight w:val="none"/>
          <w:lang w:val="en-US" w:eastAsia="zh-CN"/>
        </w:rPr>
        <w:t>当</w:t>
      </w:r>
      <w:r>
        <w:rPr>
          <w:rFonts w:hint="eastAsia" w:ascii="仿宋_GB2312" w:hAnsi="仿宋_GB2312" w:eastAsia="仿宋_GB2312" w:cs="仿宋_GB2312"/>
          <w:color w:val="auto"/>
          <w:highlight w:val="none"/>
        </w:rPr>
        <w:t>立即根据参保人员提供的证据开展核查，经核查属实的，要及时进行标识或变更。</w:t>
      </w:r>
    </w:p>
    <w:p w14:paraId="61F2FF9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p>
    <w:p w14:paraId="26F965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kern w:val="0"/>
          <w:szCs w:val="32"/>
          <w:highlight w:val="none"/>
        </w:rPr>
      </w:pPr>
      <w:r>
        <w:rPr>
          <w:rFonts w:hint="eastAsia" w:ascii="黑体" w:hAnsi="黑体" w:eastAsia="黑体" w:cs="黑体"/>
          <w:bCs/>
          <w:color w:val="auto"/>
          <w:kern w:val="0"/>
          <w:szCs w:val="32"/>
          <w:highlight w:val="none"/>
        </w:rPr>
        <w:t>第三章  保险费征缴</w:t>
      </w:r>
    </w:p>
    <w:p w14:paraId="2BD2626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p>
    <w:p w14:paraId="39D64A1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第十三条</w:t>
      </w:r>
      <w:r>
        <w:rPr>
          <w:rFonts w:hint="eastAsia"/>
          <w:color w:val="auto"/>
          <w:highlight w:val="none"/>
        </w:rPr>
        <w:t xml:space="preserve">  居民养老保险按年度缴费，参保人员通过税务部门提供的多元化缴费渠道，在设定的标准范围内自主选择缴费档次，政府按缴费档次给予相应</w:t>
      </w:r>
      <w:r>
        <w:rPr>
          <w:rFonts w:hint="eastAsia"/>
          <w:color w:val="auto"/>
          <w:highlight w:val="none"/>
          <w:lang w:val="en-US" w:eastAsia="zh-CN"/>
        </w:rPr>
        <w:t>的</w:t>
      </w:r>
      <w:r>
        <w:rPr>
          <w:rFonts w:hint="eastAsia"/>
          <w:color w:val="auto"/>
          <w:highlight w:val="none"/>
        </w:rPr>
        <w:t>缴费补贴，缴费即补。</w:t>
      </w:r>
    </w:p>
    <w:p w14:paraId="5D39510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参保人员在当前年度内</w:t>
      </w:r>
      <w:r>
        <w:rPr>
          <w:color w:val="auto"/>
          <w:highlight w:val="none"/>
        </w:rPr>
        <w:t>二次缴费</w:t>
      </w:r>
      <w:r>
        <w:rPr>
          <w:rFonts w:hint="eastAsia"/>
          <w:color w:val="auto"/>
          <w:highlight w:val="none"/>
        </w:rPr>
        <w:t>的，在设定的标准范围内自主选择高于首次缴费的档次进行差额缴费，政府</w:t>
      </w:r>
      <w:r>
        <w:rPr>
          <w:color w:val="auto"/>
          <w:highlight w:val="none"/>
        </w:rPr>
        <w:t>按</w:t>
      </w:r>
      <w:r>
        <w:rPr>
          <w:rFonts w:hint="eastAsia"/>
          <w:color w:val="auto"/>
          <w:highlight w:val="none"/>
        </w:rPr>
        <w:t>最终缴费档次</w:t>
      </w:r>
      <w:r>
        <w:rPr>
          <w:rFonts w:hint="eastAsia"/>
          <w:color w:val="auto"/>
          <w:highlight w:val="none"/>
          <w:lang w:eastAsia="zh-CN"/>
        </w:rPr>
        <w:t>对应的补贴标准</w:t>
      </w:r>
      <w:r>
        <w:rPr>
          <w:rFonts w:hint="eastAsia"/>
          <w:color w:val="auto"/>
          <w:highlight w:val="none"/>
        </w:rPr>
        <w:t>给予缴费补贴。</w:t>
      </w:r>
    </w:p>
    <w:p w14:paraId="4C5F260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第十四条</w:t>
      </w:r>
      <w:r>
        <w:rPr>
          <w:rFonts w:hint="eastAsia"/>
          <w:color w:val="auto"/>
          <w:highlight w:val="none"/>
        </w:rPr>
        <w:t xml:space="preserve">  社保机构负责补缴保险费核定、补（资）助保险费核定、被征地农民个人缴费和集体缴费核定、困难群体保险费代缴、被征地农民政府补贴资金落实等工作；税务部门负责居民养老保险当前年度保险费、补缴保险费、补（资）助保险费、被征地农民个人缴费和集体缴费等征缴工作。</w:t>
      </w:r>
    </w:p>
    <w:p w14:paraId="4FF0C3C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困难群体保险费代缴、被征地农民政府补贴资金落实等已由税务部门征缴的可继续由税务部门办理。</w:t>
      </w:r>
    </w:p>
    <w:p w14:paraId="2F1CEE8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第十五条</w:t>
      </w:r>
      <w:r>
        <w:rPr>
          <w:rFonts w:hint="eastAsia"/>
          <w:color w:val="auto"/>
          <w:highlight w:val="none"/>
        </w:rPr>
        <w:t xml:space="preserve">  社保机构和税务部门通过信息共享平台</w:t>
      </w:r>
      <w:r>
        <w:rPr>
          <w:rFonts w:hint="eastAsia"/>
          <w:color w:val="auto"/>
          <w:highlight w:val="none"/>
          <w:lang w:val="en-US" w:eastAsia="zh-CN"/>
        </w:rPr>
        <w:t>传递</w:t>
      </w:r>
      <w:r>
        <w:rPr>
          <w:rFonts w:hint="eastAsia"/>
          <w:color w:val="auto"/>
          <w:highlight w:val="none"/>
        </w:rPr>
        <w:t>数据，实现保险费征缴数据的省级集中交互。</w:t>
      </w:r>
    </w:p>
    <w:p w14:paraId="477AB27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社保机构负责向税务部门</w:t>
      </w:r>
      <w:r>
        <w:rPr>
          <w:rFonts w:hint="eastAsia"/>
          <w:color w:val="auto"/>
          <w:highlight w:val="none"/>
          <w:lang w:val="en-US" w:eastAsia="zh-CN"/>
        </w:rPr>
        <w:t>传递</w:t>
      </w:r>
      <w:r>
        <w:rPr>
          <w:rFonts w:hint="eastAsia"/>
          <w:color w:val="auto"/>
          <w:highlight w:val="none"/>
        </w:rPr>
        <w:t>居民养老保险参保登记数据、补缴和补（资）助核定、被征地农民个人缴费和集体缴费核定以及其他特殊缴费核定等信息；税务部门负责向社保机构</w:t>
      </w:r>
      <w:r>
        <w:rPr>
          <w:rFonts w:hint="eastAsia"/>
          <w:color w:val="auto"/>
          <w:highlight w:val="none"/>
          <w:lang w:val="en-US" w:eastAsia="zh-CN"/>
        </w:rPr>
        <w:t>传递</w:t>
      </w:r>
      <w:r>
        <w:rPr>
          <w:rFonts w:hint="eastAsia"/>
          <w:color w:val="auto"/>
          <w:highlight w:val="none"/>
        </w:rPr>
        <w:t>缴费明细数据、对账数据等信息；社保机构接收并记账成功后向税务部门反馈到账信息，到账不成功的双方共同查找原因。</w:t>
      </w:r>
    </w:p>
    <w:p w14:paraId="3683055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bCs/>
          <w:color w:val="auto"/>
          <w:highlight w:val="none"/>
        </w:rPr>
      </w:pPr>
      <w:r>
        <w:rPr>
          <w:rFonts w:hint="eastAsia" w:ascii="黑体" w:hAnsi="黑体" w:eastAsia="黑体" w:cs="黑体"/>
          <w:color w:val="auto"/>
          <w:highlight w:val="none"/>
        </w:rPr>
        <w:t>第十六条</w:t>
      </w:r>
      <w:r>
        <w:rPr>
          <w:rFonts w:hint="eastAsia"/>
          <w:color w:val="auto"/>
          <w:highlight w:val="none"/>
        </w:rPr>
        <w:t xml:space="preserve">  村（居）集体和其他经</w:t>
      </w:r>
      <w:r>
        <w:rPr>
          <w:rFonts w:hint="eastAsia"/>
          <w:bCs/>
          <w:color w:val="auto"/>
          <w:highlight w:val="none"/>
        </w:rPr>
        <w:t>济组织、社会公益组织、个人按国家规定对参保人</w:t>
      </w:r>
      <w:r>
        <w:rPr>
          <w:rFonts w:hint="eastAsia"/>
          <w:bCs/>
          <w:color w:val="auto"/>
          <w:highlight w:val="none"/>
          <w:lang w:val="en-US" w:eastAsia="zh-CN"/>
        </w:rPr>
        <w:t>员</w:t>
      </w:r>
      <w:r>
        <w:rPr>
          <w:rFonts w:hint="eastAsia"/>
          <w:bCs/>
          <w:color w:val="auto"/>
          <w:highlight w:val="none"/>
        </w:rPr>
        <w:t>缴费给予补助或资助的，凭补（资）助证明材料或有效身份证</w:t>
      </w:r>
      <w:r>
        <w:rPr>
          <w:rFonts w:hint="eastAsia"/>
          <w:color w:val="auto"/>
          <w:highlight w:val="none"/>
        </w:rPr>
        <w:t>件，通过线上或线下服务渠道申请办理。</w:t>
      </w:r>
    </w:p>
    <w:p w14:paraId="3C58C285">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bCs/>
          <w:color w:val="auto"/>
          <w:highlight w:val="none"/>
        </w:rPr>
      </w:pPr>
      <w:r>
        <w:rPr>
          <w:rFonts w:hint="eastAsia"/>
          <w:color w:val="auto"/>
          <w:highlight w:val="none"/>
        </w:rPr>
        <w:t>办理集体补助的，村（居）民委员会填写《居民基本养老保险集体补助和其他资助申请表》（附件2），同时提供经村（居）民会议民主确定的补助标准及补助对象名单；办理其他资助的，填写《居民基本养老保险集体补助和其他资助申请表》，并经其他经济</w:t>
      </w:r>
      <w:r>
        <w:rPr>
          <w:rFonts w:hint="eastAsia"/>
          <w:color w:val="auto"/>
          <w:highlight w:val="none"/>
          <w:lang w:eastAsia="zh-CN"/>
        </w:rPr>
        <w:t>组织</w:t>
      </w:r>
      <w:r>
        <w:rPr>
          <w:rFonts w:hint="eastAsia"/>
          <w:color w:val="auto"/>
          <w:highlight w:val="none"/>
        </w:rPr>
        <w:t>、社会公益组织盖章或个人签字，同时提供资助标准及资助对象名单。</w:t>
      </w:r>
    </w:p>
    <w:p w14:paraId="5D595D8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乡镇（街道）服务中心或县社保机构初审并将相关信息录入信息系统，</w:t>
      </w:r>
      <w:r>
        <w:rPr>
          <w:rFonts w:hint="eastAsia"/>
          <w:bCs/>
          <w:color w:val="auto"/>
          <w:highlight w:val="none"/>
        </w:rPr>
        <w:t>县社保机构</w:t>
      </w:r>
      <w:r>
        <w:rPr>
          <w:rFonts w:hint="eastAsia"/>
          <w:color w:val="auto"/>
          <w:highlight w:val="none"/>
        </w:rPr>
        <w:t>审核后将保险费核定信息通过信息共享平台</w:t>
      </w:r>
      <w:r>
        <w:rPr>
          <w:rFonts w:hint="eastAsia"/>
          <w:color w:val="auto"/>
          <w:highlight w:val="none"/>
          <w:lang w:val="en-US" w:eastAsia="zh-CN"/>
        </w:rPr>
        <w:t>传递</w:t>
      </w:r>
      <w:r>
        <w:rPr>
          <w:rFonts w:hint="eastAsia"/>
          <w:color w:val="auto"/>
          <w:highlight w:val="none"/>
        </w:rPr>
        <w:t>给税务部门，并留存相关资料。</w:t>
      </w:r>
    </w:p>
    <w:p w14:paraId="3D4D373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bCs/>
          <w:color w:val="auto"/>
          <w:highlight w:val="none"/>
        </w:rPr>
      </w:pPr>
      <w:r>
        <w:rPr>
          <w:rFonts w:hint="eastAsia"/>
          <w:color w:val="auto"/>
          <w:highlight w:val="none"/>
        </w:rPr>
        <w:t>村（居）</w:t>
      </w:r>
      <w:r>
        <w:rPr>
          <w:rFonts w:hint="eastAsia"/>
          <w:color w:val="auto"/>
          <w:highlight w:val="none"/>
          <w:lang w:val="en-US" w:eastAsia="zh-CN"/>
        </w:rPr>
        <w:t>民委员会</w:t>
      </w:r>
      <w:r>
        <w:rPr>
          <w:rFonts w:hint="eastAsia"/>
          <w:color w:val="auto"/>
          <w:highlight w:val="none"/>
        </w:rPr>
        <w:t>和其他经</w:t>
      </w:r>
      <w:r>
        <w:rPr>
          <w:rFonts w:hint="eastAsia"/>
          <w:bCs/>
          <w:color w:val="auto"/>
          <w:highlight w:val="none"/>
        </w:rPr>
        <w:t>济组织、社会公益组织、个人</w:t>
      </w:r>
      <w:r>
        <w:rPr>
          <w:rFonts w:hint="eastAsia"/>
          <w:color w:val="auto"/>
          <w:highlight w:val="none"/>
        </w:rPr>
        <w:t>通过税务部门提供的</w:t>
      </w:r>
      <w:r>
        <w:rPr>
          <w:rFonts w:hint="eastAsia"/>
          <w:bCs/>
          <w:color w:val="auto"/>
          <w:highlight w:val="none"/>
        </w:rPr>
        <w:t>多元化缴费渠道完成缴费。</w:t>
      </w:r>
    </w:p>
    <w:p w14:paraId="5EDA96F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第十七条  </w:t>
      </w:r>
      <w:r>
        <w:rPr>
          <w:rFonts w:hint="eastAsia"/>
          <w:color w:val="auto"/>
          <w:highlight w:val="none"/>
        </w:rPr>
        <w:t>乡镇（街道）服务中心</w:t>
      </w:r>
      <w:r>
        <w:rPr>
          <w:rFonts w:hint="eastAsia"/>
          <w:color w:val="auto"/>
          <w:highlight w:val="none"/>
          <w:lang w:val="en-US" w:eastAsia="zh-CN"/>
        </w:rPr>
        <w:t>在</w:t>
      </w:r>
      <w:r>
        <w:rPr>
          <w:rFonts w:hint="eastAsia"/>
          <w:color w:val="auto"/>
          <w:highlight w:val="none"/>
        </w:rPr>
        <w:t>被征地政府补贴资金到位，</w:t>
      </w:r>
      <w:r>
        <w:rPr>
          <w:rFonts w:hint="eastAsia"/>
          <w:color w:val="auto"/>
          <w:highlight w:val="none"/>
          <w:lang w:val="en-US" w:eastAsia="zh-CN"/>
        </w:rPr>
        <w:t>并</w:t>
      </w:r>
      <w:r>
        <w:rPr>
          <w:rFonts w:hint="eastAsia"/>
          <w:color w:val="auto"/>
          <w:highlight w:val="none"/>
        </w:rPr>
        <w:t>收到征地批准文件及养老保险最终方案后30日内，按照</w:t>
      </w:r>
      <w:r>
        <w:rPr>
          <w:rFonts w:hint="eastAsia"/>
          <w:color w:val="auto"/>
          <w:highlight w:val="none"/>
          <w:lang w:val="en-US" w:eastAsia="zh-CN"/>
        </w:rPr>
        <w:t>《</w:t>
      </w:r>
      <w:r>
        <w:rPr>
          <w:rFonts w:hint="eastAsia" w:ascii="仿宋_GB2312" w:hAnsi="仿宋_GB2312" w:eastAsia="仿宋_GB2312" w:cs="仿宋_GB2312"/>
          <w:color w:val="auto"/>
          <w:spacing w:val="-6"/>
          <w:kern w:val="0"/>
          <w:sz w:val="32"/>
          <w:szCs w:val="32"/>
          <w:highlight w:val="none"/>
        </w:rPr>
        <w:t>被征地农民</w:t>
      </w:r>
      <w:r>
        <w:rPr>
          <w:rFonts w:hint="eastAsia" w:ascii="仿宋_GB2312" w:hAnsi="仿宋_GB2312" w:eastAsia="仿宋_GB2312" w:cs="仿宋_GB2312"/>
          <w:color w:val="auto"/>
          <w:spacing w:val="-6"/>
          <w:kern w:val="0"/>
          <w:sz w:val="32"/>
          <w:szCs w:val="32"/>
          <w:highlight w:val="none"/>
          <w:lang w:val="en-US" w:eastAsia="zh-CN"/>
        </w:rPr>
        <w:t>参加居民基本</w:t>
      </w:r>
      <w:r>
        <w:rPr>
          <w:rFonts w:hint="eastAsia" w:ascii="仿宋_GB2312" w:hAnsi="仿宋_GB2312" w:eastAsia="仿宋_GB2312" w:cs="仿宋_GB2312"/>
          <w:color w:val="auto"/>
          <w:spacing w:val="-6"/>
          <w:kern w:val="0"/>
          <w:sz w:val="32"/>
          <w:szCs w:val="32"/>
          <w:highlight w:val="none"/>
        </w:rPr>
        <w:t>养老</w:t>
      </w:r>
      <w:r>
        <w:rPr>
          <w:rFonts w:hint="eastAsia" w:ascii="仿宋_GB2312" w:hAnsi="仿宋_GB2312" w:eastAsia="仿宋_GB2312" w:cs="仿宋_GB2312"/>
          <w:color w:val="auto"/>
          <w:spacing w:val="-6"/>
          <w:kern w:val="0"/>
          <w:sz w:val="32"/>
          <w:szCs w:val="32"/>
          <w:highlight w:val="none"/>
          <w:lang w:eastAsia="zh-CN"/>
        </w:rPr>
        <w:t>保险参保</w:t>
      </w:r>
      <w:r>
        <w:rPr>
          <w:rFonts w:hint="eastAsia" w:ascii="仿宋_GB2312" w:hAnsi="仿宋_GB2312" w:eastAsia="仿宋_GB2312" w:cs="仿宋_GB2312"/>
          <w:color w:val="auto"/>
          <w:spacing w:val="-6"/>
          <w:kern w:val="0"/>
          <w:sz w:val="32"/>
          <w:szCs w:val="32"/>
          <w:highlight w:val="none"/>
          <w:lang w:val="en-US" w:eastAsia="zh-CN"/>
        </w:rPr>
        <w:t>缴费</w:t>
      </w:r>
      <w:r>
        <w:rPr>
          <w:rFonts w:hint="eastAsia" w:ascii="仿宋_GB2312" w:hAnsi="仿宋_GB2312" w:eastAsia="仿宋_GB2312" w:cs="仿宋_GB2312"/>
          <w:color w:val="auto"/>
          <w:spacing w:val="-6"/>
          <w:kern w:val="0"/>
          <w:sz w:val="32"/>
          <w:szCs w:val="32"/>
          <w:highlight w:val="none"/>
          <w:lang w:eastAsia="zh-CN"/>
        </w:rPr>
        <w:t>明细表</w:t>
      </w:r>
      <w:r>
        <w:rPr>
          <w:rFonts w:hint="eastAsia"/>
          <w:color w:val="auto"/>
          <w:highlight w:val="none"/>
          <w:lang w:val="en-US" w:eastAsia="zh-CN"/>
        </w:rPr>
        <w:t>》</w:t>
      </w:r>
      <w:r>
        <w:rPr>
          <w:rFonts w:hint="eastAsia"/>
          <w:color w:val="auto"/>
          <w:highlight w:val="none"/>
        </w:rPr>
        <w:t>（</w:t>
      </w:r>
      <w:r>
        <w:rPr>
          <w:rFonts w:hint="eastAsia"/>
          <w:color w:val="auto"/>
          <w:highlight w:val="none"/>
          <w:lang w:eastAsia="zh-CN"/>
        </w:rPr>
        <w:t>以下简称《被征地农民参保缴费明细表》，</w:t>
      </w:r>
      <w:r>
        <w:rPr>
          <w:rFonts w:hint="eastAsia"/>
          <w:color w:val="auto"/>
          <w:highlight w:val="none"/>
        </w:rPr>
        <w:t>附件3）</w:t>
      </w:r>
      <w:r>
        <w:rPr>
          <w:rFonts w:hint="eastAsia"/>
          <w:color w:val="auto"/>
          <w:highlight w:val="none"/>
          <w:lang w:val="en-US" w:eastAsia="zh-CN"/>
        </w:rPr>
        <w:t>，</w:t>
      </w:r>
      <w:r>
        <w:rPr>
          <w:rFonts w:hint="eastAsia"/>
          <w:color w:val="auto"/>
          <w:highlight w:val="none"/>
        </w:rPr>
        <w:t>录入信息系统并留存相关资料，县社保机构30日内审核完毕，完成被征地农民参保、被征地政府补贴资金落实等工作。</w:t>
      </w:r>
    </w:p>
    <w:p w14:paraId="4C17B71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第十八条</w:t>
      </w:r>
      <w:r>
        <w:rPr>
          <w:rFonts w:hint="eastAsia"/>
          <w:color w:val="auto"/>
          <w:highlight w:val="none"/>
        </w:rPr>
        <w:t xml:space="preserve">  办理被征地农民个人缴费和集体缴费的，本人凭有效身份证件，村集体凭集体缴费申请材料，填写《</w:t>
      </w:r>
      <w:r>
        <w:rPr>
          <w:rFonts w:hint="eastAsia" w:ascii="仿宋_GB2312" w:hAnsi="仿宋_GB2312" w:eastAsia="仿宋_GB2312" w:cs="仿宋_GB2312"/>
          <w:color w:val="auto"/>
          <w:spacing w:val="-6"/>
          <w:kern w:val="0"/>
          <w:sz w:val="32"/>
          <w:szCs w:val="32"/>
          <w:highlight w:val="none"/>
        </w:rPr>
        <w:t>被征地农民</w:t>
      </w:r>
      <w:r>
        <w:rPr>
          <w:rFonts w:hint="eastAsia" w:ascii="仿宋_GB2312" w:hAnsi="仿宋_GB2312" w:eastAsia="仿宋_GB2312" w:cs="仿宋_GB2312"/>
          <w:color w:val="auto"/>
          <w:spacing w:val="-6"/>
          <w:kern w:val="0"/>
          <w:sz w:val="32"/>
          <w:szCs w:val="32"/>
          <w:highlight w:val="none"/>
          <w:lang w:eastAsia="zh-CN"/>
        </w:rPr>
        <w:t>参保</w:t>
      </w:r>
      <w:r>
        <w:rPr>
          <w:rFonts w:hint="eastAsia" w:ascii="仿宋_GB2312" w:hAnsi="仿宋_GB2312" w:eastAsia="仿宋_GB2312" w:cs="仿宋_GB2312"/>
          <w:color w:val="auto"/>
          <w:spacing w:val="-6"/>
          <w:kern w:val="0"/>
          <w:sz w:val="32"/>
          <w:szCs w:val="32"/>
          <w:highlight w:val="none"/>
          <w:lang w:val="en-US" w:eastAsia="zh-CN"/>
        </w:rPr>
        <w:t>缴费</w:t>
      </w:r>
      <w:r>
        <w:rPr>
          <w:rFonts w:hint="eastAsia" w:ascii="仿宋_GB2312" w:hAnsi="仿宋_GB2312" w:eastAsia="仿宋_GB2312" w:cs="仿宋_GB2312"/>
          <w:color w:val="auto"/>
          <w:spacing w:val="-6"/>
          <w:kern w:val="0"/>
          <w:sz w:val="32"/>
          <w:szCs w:val="32"/>
          <w:highlight w:val="none"/>
          <w:lang w:eastAsia="zh-CN"/>
        </w:rPr>
        <w:t>明细表</w:t>
      </w:r>
      <w:r>
        <w:rPr>
          <w:rFonts w:hint="eastAsia"/>
          <w:color w:val="auto"/>
          <w:highlight w:val="none"/>
        </w:rPr>
        <w:t>》，参照第十六条规定的程序办理。</w:t>
      </w:r>
    </w:p>
    <w:p w14:paraId="211BB85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第十九条</w:t>
      </w:r>
      <w:r>
        <w:rPr>
          <w:rFonts w:hint="eastAsia"/>
          <w:color w:val="auto"/>
          <w:highlight w:val="none"/>
        </w:rPr>
        <w:t xml:space="preserve">  办理被征地政府补贴资金一次性支付的，乡镇（街道）服务中心或县社保机构按照被征地农民养老保险方案，填写《被征地农民政府补贴资金一次性支付汇总表》（附件4），并将相关信息录入信息系统，按居民养老保险个人账户返还相关规定办理。</w:t>
      </w:r>
    </w:p>
    <w:p w14:paraId="15CF5CD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第二十条</w:t>
      </w:r>
      <w:r>
        <w:rPr>
          <w:color w:val="auto"/>
          <w:highlight w:val="none"/>
        </w:rPr>
        <w:t xml:space="preserve">  </w:t>
      </w:r>
      <w:r>
        <w:rPr>
          <w:rFonts w:hint="eastAsia"/>
          <w:color w:val="auto"/>
          <w:highlight w:val="none"/>
        </w:rPr>
        <w:t>参保人员办理保险费补缴的，</w:t>
      </w:r>
      <w:r>
        <w:rPr>
          <w:rFonts w:hint="eastAsia"/>
          <w:color w:val="auto"/>
          <w:highlight w:val="none"/>
          <w:lang w:val="en-US" w:eastAsia="zh-CN"/>
        </w:rPr>
        <w:t>应当</w:t>
      </w:r>
      <w:r>
        <w:rPr>
          <w:rFonts w:hint="eastAsia"/>
          <w:color w:val="auto"/>
          <w:highlight w:val="none"/>
        </w:rPr>
        <w:t>在到达待遇</w:t>
      </w:r>
      <w:r>
        <w:rPr>
          <w:rFonts w:hint="eastAsia"/>
          <w:color w:val="auto"/>
          <w:highlight w:val="none"/>
          <w:lang w:eastAsia="zh-CN"/>
        </w:rPr>
        <w:t>享受</w:t>
      </w:r>
      <w:r>
        <w:rPr>
          <w:rFonts w:hint="eastAsia"/>
          <w:color w:val="auto"/>
          <w:highlight w:val="none"/>
        </w:rPr>
        <w:t>年龄前6个月内办理。可通过线上或线下服务渠道填写《居民基本养老保险费补缴申请表》（附件5），提出补缴申请，乡镇（街道）服务中心或县社保机构自收到补缴申请之日起3个工作日内完成审核，及时</w:t>
      </w:r>
      <w:r>
        <w:rPr>
          <w:color w:val="auto"/>
          <w:highlight w:val="none"/>
        </w:rPr>
        <w:t>将</w:t>
      </w:r>
      <w:r>
        <w:rPr>
          <w:rFonts w:hint="eastAsia"/>
          <w:color w:val="auto"/>
          <w:highlight w:val="none"/>
        </w:rPr>
        <w:t>核定</w:t>
      </w:r>
      <w:r>
        <w:rPr>
          <w:color w:val="auto"/>
          <w:highlight w:val="none"/>
        </w:rPr>
        <w:t>的补缴</w:t>
      </w:r>
      <w:r>
        <w:rPr>
          <w:rFonts w:hint="eastAsia"/>
          <w:color w:val="auto"/>
          <w:highlight w:val="none"/>
        </w:rPr>
        <w:t>数据</w:t>
      </w:r>
      <w:r>
        <w:rPr>
          <w:color w:val="auto"/>
          <w:highlight w:val="none"/>
        </w:rPr>
        <w:t>通过</w:t>
      </w:r>
      <w:r>
        <w:rPr>
          <w:rFonts w:hint="eastAsia"/>
          <w:color w:val="auto"/>
          <w:highlight w:val="none"/>
        </w:rPr>
        <w:t>信息</w:t>
      </w:r>
      <w:r>
        <w:rPr>
          <w:color w:val="auto"/>
          <w:highlight w:val="none"/>
        </w:rPr>
        <w:t>共享平台</w:t>
      </w:r>
      <w:r>
        <w:rPr>
          <w:rFonts w:hint="eastAsia"/>
          <w:color w:val="auto"/>
          <w:highlight w:val="none"/>
          <w:lang w:val="en-US" w:eastAsia="zh-CN"/>
        </w:rPr>
        <w:t>传递</w:t>
      </w:r>
      <w:r>
        <w:rPr>
          <w:color w:val="auto"/>
          <w:highlight w:val="none"/>
        </w:rPr>
        <w:t>给税务部门，</w:t>
      </w:r>
      <w:r>
        <w:rPr>
          <w:rFonts w:hint="eastAsia"/>
          <w:bCs/>
          <w:color w:val="auto"/>
          <w:highlight w:val="none"/>
        </w:rPr>
        <w:t>并</w:t>
      </w:r>
      <w:r>
        <w:rPr>
          <w:rFonts w:hint="eastAsia"/>
          <w:color w:val="auto"/>
          <w:highlight w:val="none"/>
        </w:rPr>
        <w:t>将结果告知参保人员，或者提供办理情况查询服务。</w:t>
      </w:r>
    </w:p>
    <w:p w14:paraId="14D8D4FD">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参保人员通过税务部门提供的多元化缴费渠道完成缴费。</w:t>
      </w:r>
    </w:p>
    <w:p w14:paraId="76FEA23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第二十一条</w:t>
      </w:r>
      <w:r>
        <w:rPr>
          <w:rFonts w:hint="eastAsia"/>
          <w:color w:val="auto"/>
          <w:highlight w:val="none"/>
        </w:rPr>
        <w:t xml:space="preserve">  乡镇（街道）服务中心或县社保机构应当及时获取残联、民政等部门的共享数据，为符合参保条件的困难群体办理参保登记，及时申请资金办理保险费代缴，并将代缴金额记入个人账户。</w:t>
      </w:r>
    </w:p>
    <w:p w14:paraId="77F23B7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p>
    <w:p w14:paraId="1BB75D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Cs w:val="32"/>
          <w:highlight w:val="none"/>
        </w:rPr>
      </w:pPr>
      <w:r>
        <w:rPr>
          <w:rFonts w:hint="eastAsia" w:ascii="黑体" w:hAnsi="黑体" w:eastAsia="黑体" w:cs="黑体"/>
          <w:color w:val="auto"/>
          <w:kern w:val="0"/>
          <w:szCs w:val="32"/>
          <w:highlight w:val="none"/>
        </w:rPr>
        <w:t>第四章  个人账户管理</w:t>
      </w:r>
    </w:p>
    <w:p w14:paraId="6733EA10">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center"/>
        <w:textAlignment w:val="auto"/>
        <w:rPr>
          <w:rFonts w:ascii="黑体" w:hAnsi="黑体" w:eastAsia="黑体" w:cs="黑体"/>
          <w:color w:val="auto"/>
          <w:kern w:val="0"/>
          <w:szCs w:val="32"/>
          <w:highlight w:val="none"/>
        </w:rPr>
      </w:pPr>
    </w:p>
    <w:p w14:paraId="6233D00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第二十二条</w:t>
      </w:r>
      <w:r>
        <w:rPr>
          <w:rFonts w:hint="eastAsia"/>
          <w:color w:val="auto"/>
          <w:highlight w:val="none"/>
        </w:rPr>
        <w:t xml:space="preserve">  县社保机构应</w:t>
      </w:r>
      <w:r>
        <w:rPr>
          <w:rFonts w:hint="eastAsia"/>
          <w:color w:val="auto"/>
          <w:highlight w:val="none"/>
          <w:lang w:val="en-US" w:eastAsia="zh-CN"/>
        </w:rPr>
        <w:t>当</w:t>
      </w:r>
      <w:r>
        <w:rPr>
          <w:rFonts w:hint="eastAsia"/>
          <w:color w:val="auto"/>
          <w:highlight w:val="none"/>
        </w:rPr>
        <w:t>为参保人员建立个人账户。</w:t>
      </w:r>
    </w:p>
    <w:p w14:paraId="55620D1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个人账户用于记录个人缴费、补（资）助、缴费补贴和其他政府补贴及利息等。</w:t>
      </w:r>
    </w:p>
    <w:p w14:paraId="1F15F9F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第二十三条</w:t>
      </w:r>
      <w:r>
        <w:rPr>
          <w:rFonts w:hint="eastAsia"/>
          <w:color w:val="auto"/>
          <w:highlight w:val="none"/>
        </w:rPr>
        <w:t xml:space="preserve">  县社保机构应</w:t>
      </w:r>
      <w:r>
        <w:rPr>
          <w:rFonts w:hint="eastAsia"/>
          <w:color w:val="auto"/>
          <w:highlight w:val="none"/>
          <w:lang w:val="en-US" w:eastAsia="zh-CN"/>
        </w:rPr>
        <w:t>当</w:t>
      </w:r>
      <w:r>
        <w:rPr>
          <w:rFonts w:hint="eastAsia"/>
          <w:color w:val="auto"/>
          <w:highlight w:val="none"/>
        </w:rPr>
        <w:t>依据税务部门</w:t>
      </w:r>
      <w:r>
        <w:rPr>
          <w:rFonts w:hint="eastAsia"/>
          <w:color w:val="auto"/>
          <w:highlight w:val="none"/>
          <w:lang w:val="en-US" w:eastAsia="zh-CN"/>
        </w:rPr>
        <w:t>传递</w:t>
      </w:r>
      <w:r>
        <w:rPr>
          <w:rFonts w:hint="eastAsia"/>
          <w:color w:val="auto"/>
          <w:highlight w:val="none"/>
        </w:rPr>
        <w:t>的缴费数据，</w:t>
      </w:r>
      <w:r>
        <w:rPr>
          <w:color w:val="auto"/>
          <w:highlight w:val="none"/>
        </w:rPr>
        <w:t>将个人</w:t>
      </w:r>
      <w:r>
        <w:rPr>
          <w:rFonts w:hint="eastAsia"/>
          <w:color w:val="auto"/>
          <w:highlight w:val="none"/>
        </w:rPr>
        <w:t>缴费和政府对个人缴费补贴同时记入个人账户。</w:t>
      </w:r>
    </w:p>
    <w:p w14:paraId="28E4A7C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由税务部门征缴的，按税务部门</w:t>
      </w:r>
      <w:r>
        <w:rPr>
          <w:rFonts w:hint="eastAsia"/>
          <w:color w:val="auto"/>
          <w:highlight w:val="none"/>
          <w:lang w:val="en-US" w:eastAsia="zh-CN"/>
        </w:rPr>
        <w:t>传递</w:t>
      </w:r>
      <w:r>
        <w:rPr>
          <w:rFonts w:hint="eastAsia"/>
          <w:color w:val="auto"/>
          <w:highlight w:val="none"/>
        </w:rPr>
        <w:t>的上解时间记账；由社保机构自行办理的，按记入个人账户时间记账。从次月起开始计息。</w:t>
      </w:r>
    </w:p>
    <w:p w14:paraId="012340E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ascii="黑体" w:hAnsi="黑体" w:eastAsia="黑体" w:cs="黑体"/>
          <w:color w:val="auto"/>
          <w:highlight w:val="none"/>
        </w:rPr>
      </w:pPr>
      <w:r>
        <w:rPr>
          <w:rFonts w:hint="eastAsia" w:ascii="黑体" w:hAnsi="黑体" w:eastAsia="黑体" w:cs="黑体"/>
          <w:color w:val="auto"/>
          <w:highlight w:val="none"/>
        </w:rPr>
        <w:t xml:space="preserve">第二十四条  </w:t>
      </w:r>
      <w:r>
        <w:rPr>
          <w:rFonts w:hint="eastAsia"/>
          <w:color w:val="auto"/>
          <w:highlight w:val="none"/>
        </w:rPr>
        <w:t>居民养老保险个人账户的结息年度为每年1月1日至12月31日。社保机构应</w:t>
      </w:r>
      <w:r>
        <w:rPr>
          <w:rFonts w:hint="eastAsia"/>
          <w:color w:val="auto"/>
          <w:highlight w:val="none"/>
          <w:lang w:val="en-US" w:eastAsia="zh-CN"/>
        </w:rPr>
        <w:t>当</w:t>
      </w:r>
      <w:r>
        <w:rPr>
          <w:rFonts w:hint="eastAsia"/>
          <w:color w:val="auto"/>
          <w:highlight w:val="none"/>
        </w:rPr>
        <w:t>于一个结息年度结束后，按全省统一公布的记账利率，对上年度的个人账户储存额进行结息。</w:t>
      </w:r>
    </w:p>
    <w:p w14:paraId="6D30A2C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ascii="黑体" w:hAnsi="黑体" w:eastAsia="黑体" w:cs="黑体"/>
          <w:color w:val="auto"/>
          <w:highlight w:val="none"/>
        </w:rPr>
      </w:pPr>
      <w:r>
        <w:rPr>
          <w:rFonts w:hint="eastAsia" w:ascii="黑体" w:hAnsi="黑体" w:eastAsia="黑体" w:cs="黑体"/>
          <w:color w:val="auto"/>
          <w:highlight w:val="none"/>
        </w:rPr>
        <w:t xml:space="preserve">第二十五条  </w:t>
      </w:r>
      <w:r>
        <w:rPr>
          <w:rFonts w:hint="eastAsia"/>
          <w:color w:val="auto"/>
          <w:highlight w:val="none"/>
        </w:rPr>
        <w:t>社保机构和税务部门</w:t>
      </w:r>
      <w:r>
        <w:rPr>
          <w:rFonts w:hint="eastAsia"/>
          <w:color w:val="auto"/>
          <w:highlight w:val="none"/>
          <w:lang w:eastAsia="zh-CN"/>
        </w:rPr>
        <w:t>通过</w:t>
      </w:r>
      <w:r>
        <w:rPr>
          <w:rFonts w:hint="eastAsia"/>
          <w:color w:val="auto"/>
          <w:highlight w:val="none"/>
        </w:rPr>
        <w:t>线上和线下服务渠道，按职责分工免费为参保人员提供参保缴费、待遇享受记录等信息查询，下载打印《居民基本养老保险个人账户对账单》（附件6）。</w:t>
      </w:r>
    </w:p>
    <w:p w14:paraId="1EE4687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参保人员对个人账户记录有异议的，可通过线下服务渠道提供证据，向县社保机构提出核查申请。接到申请后，县社保机构应</w:t>
      </w:r>
      <w:r>
        <w:rPr>
          <w:rFonts w:hint="eastAsia"/>
          <w:color w:val="auto"/>
          <w:highlight w:val="none"/>
          <w:lang w:val="en-US" w:eastAsia="zh-CN"/>
        </w:rPr>
        <w:t>当</w:t>
      </w:r>
      <w:r>
        <w:rPr>
          <w:rFonts w:hint="eastAsia"/>
          <w:color w:val="auto"/>
          <w:highlight w:val="none"/>
        </w:rPr>
        <w:t>立即根据参保人员提供的证据开展核查，并自收到核查申请之日起5个工作日</w:t>
      </w:r>
      <w:r>
        <w:rPr>
          <w:rFonts w:hint="eastAsia"/>
          <w:color w:val="auto"/>
          <w:highlight w:val="none"/>
          <w:lang w:eastAsia="zh-CN"/>
        </w:rPr>
        <w:t>内</w:t>
      </w:r>
      <w:r>
        <w:rPr>
          <w:rFonts w:hint="eastAsia"/>
          <w:color w:val="auto"/>
          <w:highlight w:val="none"/>
        </w:rPr>
        <w:t>将结果告知参保人员。确需调整的，县社保机构及时收集留存相关证据材料，并将正确信息录入信息系统，同时保留记录备查。</w:t>
      </w:r>
    </w:p>
    <w:p w14:paraId="349C6E9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第二十六条  </w:t>
      </w:r>
      <w:r>
        <w:rPr>
          <w:rFonts w:hint="eastAsia"/>
          <w:color w:val="auto"/>
          <w:highlight w:val="none"/>
        </w:rPr>
        <w:t>个人账户储存额只能用于个人账户养老金支付，除出现本规程第四十四条情况外，不得提前支取或挪作他用。</w:t>
      </w:r>
    </w:p>
    <w:p w14:paraId="7B43AE5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第二十七条  </w:t>
      </w:r>
      <w:r>
        <w:rPr>
          <w:rFonts w:hint="eastAsia"/>
          <w:color w:val="auto"/>
          <w:highlight w:val="none"/>
        </w:rPr>
        <w:t>个人账户养老金支出，按照“个人缴费、补（资）助、政府补贴等项目分开记录、按比例冲减”的原则，从账户项目中分别列支。</w:t>
      </w:r>
    </w:p>
    <w:p w14:paraId="03A1EA30">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center"/>
        <w:textAlignment w:val="auto"/>
        <w:rPr>
          <w:rFonts w:hint="eastAsia" w:ascii="黑体" w:hAnsi="黑体" w:eastAsia="黑体" w:cs="黑体"/>
          <w:bCs/>
          <w:color w:val="auto"/>
          <w:kern w:val="0"/>
          <w:szCs w:val="32"/>
          <w:highlight w:val="none"/>
        </w:rPr>
      </w:pPr>
    </w:p>
    <w:p w14:paraId="69906D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kern w:val="0"/>
          <w:szCs w:val="32"/>
          <w:highlight w:val="none"/>
        </w:rPr>
      </w:pPr>
      <w:r>
        <w:rPr>
          <w:rFonts w:hint="eastAsia" w:ascii="黑体" w:hAnsi="黑体" w:eastAsia="黑体" w:cs="黑体"/>
          <w:bCs/>
          <w:color w:val="auto"/>
          <w:kern w:val="0"/>
          <w:szCs w:val="32"/>
          <w:highlight w:val="none"/>
        </w:rPr>
        <w:t>第五章  待遇核定与支付</w:t>
      </w:r>
    </w:p>
    <w:p w14:paraId="0F36C733">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Ansi="仿宋_GB2312" w:cs="仿宋_GB2312"/>
          <w:color w:val="auto"/>
          <w:szCs w:val="32"/>
          <w:highlight w:val="none"/>
        </w:rPr>
      </w:pPr>
    </w:p>
    <w:p w14:paraId="2C83CC9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第二十八条  </w:t>
      </w:r>
      <w:r>
        <w:rPr>
          <w:rFonts w:hint="eastAsia"/>
          <w:color w:val="auto"/>
          <w:highlight w:val="none"/>
        </w:rPr>
        <w:t>乡镇（街道）服务中心或县社保机构应</w:t>
      </w:r>
      <w:r>
        <w:rPr>
          <w:rFonts w:hint="eastAsia"/>
          <w:color w:val="auto"/>
          <w:highlight w:val="none"/>
          <w:lang w:val="en-US" w:eastAsia="zh-CN"/>
        </w:rPr>
        <w:t>当</w:t>
      </w:r>
      <w:r>
        <w:rPr>
          <w:rFonts w:hint="eastAsia"/>
          <w:color w:val="auto"/>
          <w:highlight w:val="none"/>
        </w:rPr>
        <w:t>在参保人员达到待遇享受年龄前</w:t>
      </w:r>
      <w:r>
        <w:rPr>
          <w:color w:val="auto"/>
          <w:highlight w:val="none"/>
        </w:rPr>
        <w:t>6</w:t>
      </w:r>
      <w:r>
        <w:rPr>
          <w:rFonts w:hint="eastAsia"/>
          <w:color w:val="auto"/>
          <w:highlight w:val="none"/>
        </w:rPr>
        <w:t>个月生成《居民基本养老保险缴费信息和待遇享受告知书》（以下简称《告知书》，附件7），通过线上或线下服务渠道通知参保人员。</w:t>
      </w:r>
    </w:p>
    <w:p w14:paraId="58BE36D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《告知书》应</w:t>
      </w:r>
      <w:r>
        <w:rPr>
          <w:rFonts w:hint="eastAsia"/>
          <w:color w:val="auto"/>
          <w:highlight w:val="none"/>
          <w:lang w:val="en-US" w:eastAsia="zh-CN"/>
        </w:rPr>
        <w:t>当</w:t>
      </w:r>
      <w:r>
        <w:rPr>
          <w:rFonts w:hint="eastAsia"/>
          <w:color w:val="auto"/>
          <w:highlight w:val="none"/>
        </w:rPr>
        <w:t>包括参保缴费、补缴、跨制度衔接及待遇申领手续等信息。</w:t>
      </w:r>
    </w:p>
    <w:p w14:paraId="520CB09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第二十九条  </w:t>
      </w:r>
      <w:r>
        <w:rPr>
          <w:rFonts w:hint="eastAsia"/>
          <w:color w:val="auto"/>
          <w:highlight w:val="none"/>
        </w:rPr>
        <w:t>符合居民养老保险待遇享受条件的参保人员应</w:t>
      </w:r>
      <w:r>
        <w:rPr>
          <w:rFonts w:hint="eastAsia"/>
          <w:color w:val="auto"/>
          <w:highlight w:val="none"/>
          <w:lang w:val="en-US" w:eastAsia="zh-CN"/>
        </w:rPr>
        <w:t>当</w:t>
      </w:r>
      <w:r>
        <w:rPr>
          <w:rFonts w:hint="eastAsia"/>
          <w:color w:val="auto"/>
          <w:highlight w:val="none"/>
        </w:rPr>
        <w:t>向县社保机构提出待遇享受申请。参</w:t>
      </w:r>
      <w:r>
        <w:rPr>
          <w:color w:val="auto"/>
          <w:highlight w:val="none"/>
        </w:rPr>
        <w:t>保人员</w:t>
      </w:r>
      <w:r>
        <w:rPr>
          <w:rFonts w:hint="eastAsia"/>
          <w:color w:val="auto"/>
          <w:highlight w:val="none"/>
        </w:rPr>
        <w:t>可通过线上服务渠道，利用人脸识别等方式实名认证后，填写相关信息，提出待遇享受申请</w:t>
      </w:r>
      <w:r>
        <w:rPr>
          <w:rFonts w:hint="eastAsia"/>
          <w:color w:val="auto"/>
          <w:highlight w:val="none"/>
          <w:lang w:eastAsia="zh-CN"/>
        </w:rPr>
        <w:t>；</w:t>
      </w:r>
      <w:r>
        <w:rPr>
          <w:rFonts w:hint="eastAsia"/>
          <w:color w:val="auto"/>
          <w:highlight w:val="none"/>
        </w:rPr>
        <w:t>也可通过线下服务渠道，利用人脸识别等方式实名认证或提供有效身份证件，签字确认《告知书》，现场申请。</w:t>
      </w:r>
    </w:p>
    <w:p w14:paraId="195996C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lang w:eastAsia="zh-CN"/>
        </w:rPr>
        <w:t>通过</w:t>
      </w:r>
      <w:r>
        <w:rPr>
          <w:rFonts w:hint="eastAsia"/>
          <w:color w:val="auto"/>
          <w:highlight w:val="none"/>
        </w:rPr>
        <w:t>“全省通办”办理的，在省内非户籍地的乡镇（街道）服务中心或县社保机构，利用人脸识别等方式实名认证或提供有效身份证件，签字确认《告知书》，现场申请，参照第九条规定的程序办理。</w:t>
      </w:r>
    </w:p>
    <w:p w14:paraId="4684E0B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第三十条  </w:t>
      </w:r>
      <w:r>
        <w:rPr>
          <w:rFonts w:hint="eastAsia"/>
          <w:color w:val="auto"/>
          <w:highlight w:val="none"/>
        </w:rPr>
        <w:t>乡镇（街道）服务中心或县社保机构应</w:t>
      </w:r>
      <w:r>
        <w:rPr>
          <w:rFonts w:hint="eastAsia"/>
          <w:color w:val="auto"/>
          <w:highlight w:val="none"/>
          <w:lang w:val="en-US" w:eastAsia="zh-CN"/>
        </w:rPr>
        <w:t>当</w:t>
      </w:r>
      <w:r>
        <w:rPr>
          <w:rFonts w:hint="eastAsia"/>
          <w:color w:val="auto"/>
          <w:highlight w:val="none"/>
        </w:rPr>
        <w:t>及时受理待遇享受申请，县社保机构通过数据比对等方式，核实其享受居民养老保险待遇资格，自收到申请之日起5个工作日内办理完毕，并将结果告知参保人员，或者提供办理情况查询服务。对符合</w:t>
      </w:r>
      <w:r>
        <w:rPr>
          <w:rFonts w:hint="eastAsia"/>
          <w:color w:val="auto"/>
          <w:highlight w:val="none"/>
          <w:lang w:val="en-US" w:eastAsia="zh-CN"/>
        </w:rPr>
        <w:t>待遇</w:t>
      </w:r>
      <w:r>
        <w:rPr>
          <w:rFonts w:hint="eastAsia"/>
          <w:color w:val="auto"/>
          <w:highlight w:val="none"/>
        </w:rPr>
        <w:t>享受条件的，县社保机构应</w:t>
      </w:r>
      <w:r>
        <w:rPr>
          <w:rFonts w:hint="eastAsia"/>
          <w:color w:val="auto"/>
          <w:highlight w:val="none"/>
          <w:lang w:val="en-US" w:eastAsia="zh-CN"/>
        </w:rPr>
        <w:t>当</w:t>
      </w:r>
      <w:r>
        <w:rPr>
          <w:rFonts w:hint="eastAsia"/>
          <w:color w:val="auto"/>
          <w:highlight w:val="none"/>
        </w:rPr>
        <w:t>在参保人员达到待遇享受条件的当月核定居民养老保险待遇，生成《居民基本养老保险待遇核定表》（附件8）。</w:t>
      </w:r>
    </w:p>
    <w:p w14:paraId="7F49175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第三十一条  </w:t>
      </w:r>
      <w:r>
        <w:rPr>
          <w:rFonts w:hint="eastAsia"/>
          <w:color w:val="auto"/>
          <w:highlight w:val="none"/>
        </w:rPr>
        <w:t>待遇享受人员对待遇计发标准和开始享受时间有异议的，可通过线下服务渠道提供证据，向县社保机构提出核查申请。接到申请后，县社保机构应</w:t>
      </w:r>
      <w:r>
        <w:rPr>
          <w:rFonts w:hint="eastAsia"/>
          <w:color w:val="auto"/>
          <w:highlight w:val="none"/>
          <w:lang w:val="en-US" w:eastAsia="zh-CN"/>
        </w:rPr>
        <w:t>当</w:t>
      </w:r>
      <w:r>
        <w:rPr>
          <w:rFonts w:hint="eastAsia"/>
          <w:color w:val="auto"/>
          <w:highlight w:val="none"/>
        </w:rPr>
        <w:t>立即根据参保人员提供的证据开展核查，确实有误的，应</w:t>
      </w:r>
      <w:r>
        <w:rPr>
          <w:rFonts w:hint="eastAsia"/>
          <w:color w:val="auto"/>
          <w:highlight w:val="none"/>
          <w:lang w:val="en-US" w:eastAsia="zh-CN"/>
        </w:rPr>
        <w:t>当</w:t>
      </w:r>
      <w:r>
        <w:rPr>
          <w:rFonts w:hint="eastAsia"/>
          <w:color w:val="auto"/>
          <w:highlight w:val="none"/>
        </w:rPr>
        <w:t>重新核定，补（扣）发相应历史待遇，并将结果告知参保人员。</w:t>
      </w:r>
    </w:p>
    <w:p w14:paraId="333E6E8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第三十二条  </w:t>
      </w:r>
      <w:r>
        <w:rPr>
          <w:rFonts w:hint="eastAsia"/>
          <w:color w:val="auto"/>
          <w:highlight w:val="none"/>
        </w:rPr>
        <w:t>居民养老保险待遇应</w:t>
      </w:r>
      <w:r>
        <w:rPr>
          <w:rFonts w:hint="eastAsia"/>
          <w:color w:val="auto"/>
          <w:highlight w:val="none"/>
          <w:lang w:val="en-US" w:eastAsia="zh-CN"/>
        </w:rPr>
        <w:t>当</w:t>
      </w:r>
      <w:r>
        <w:rPr>
          <w:rFonts w:hint="eastAsia"/>
          <w:color w:val="auto"/>
          <w:highlight w:val="none"/>
        </w:rPr>
        <w:t>按月发放，并采取“社银直连”方式进行社会化发放，原则上</w:t>
      </w:r>
      <w:r>
        <w:rPr>
          <w:color w:val="auto"/>
          <w:highlight w:val="none"/>
        </w:rPr>
        <w:t>应</w:t>
      </w:r>
      <w:r>
        <w:rPr>
          <w:rFonts w:hint="eastAsia"/>
          <w:color w:val="auto"/>
          <w:highlight w:val="none"/>
          <w:lang w:val="en-US" w:eastAsia="zh-CN"/>
        </w:rPr>
        <w:t>当</w:t>
      </w:r>
      <w:r>
        <w:rPr>
          <w:color w:val="auto"/>
          <w:highlight w:val="none"/>
        </w:rPr>
        <w:t>使用</w:t>
      </w:r>
      <w:r>
        <w:rPr>
          <w:rFonts w:hint="eastAsia"/>
          <w:color w:val="auto"/>
          <w:highlight w:val="none"/>
        </w:rPr>
        <w:t>社会保障卡</w:t>
      </w:r>
      <w:r>
        <w:rPr>
          <w:color w:val="auto"/>
          <w:highlight w:val="none"/>
        </w:rPr>
        <w:t>银行账户发放待遇。</w:t>
      </w:r>
    </w:p>
    <w:p w14:paraId="55FC9A1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第三十三条  </w:t>
      </w:r>
      <w:r>
        <w:rPr>
          <w:rFonts w:hint="eastAsia"/>
          <w:color w:val="auto"/>
          <w:highlight w:val="none"/>
        </w:rPr>
        <w:t>居民养老保险待遇发放时间为每月25日前。</w:t>
      </w:r>
    </w:p>
    <w:p w14:paraId="3EA04D6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color w:val="auto"/>
          <w:highlight w:val="none"/>
        </w:rPr>
        <w:t>县社保机构应</w:t>
      </w:r>
      <w:r>
        <w:rPr>
          <w:rFonts w:hint="eastAsia"/>
          <w:color w:val="auto"/>
          <w:highlight w:val="none"/>
          <w:lang w:val="en-US" w:eastAsia="zh-CN"/>
        </w:rPr>
        <w:t>当</w:t>
      </w:r>
      <w:r>
        <w:rPr>
          <w:color w:val="auto"/>
          <w:highlight w:val="none"/>
        </w:rPr>
        <w:t>根据待遇</w:t>
      </w:r>
      <w:r>
        <w:rPr>
          <w:rFonts w:hint="eastAsia"/>
          <w:color w:val="auto"/>
          <w:highlight w:val="none"/>
        </w:rPr>
        <w:t>享受</w:t>
      </w:r>
      <w:r>
        <w:rPr>
          <w:color w:val="auto"/>
          <w:highlight w:val="none"/>
        </w:rPr>
        <w:t>人员待遇标准核定应发放的居民养老保险待遇，按月通过</w:t>
      </w:r>
      <w:r>
        <w:rPr>
          <w:rFonts w:hint="eastAsia"/>
          <w:color w:val="auto"/>
          <w:highlight w:val="none"/>
        </w:rPr>
        <w:t>信息系统</w:t>
      </w:r>
      <w:r>
        <w:rPr>
          <w:color w:val="auto"/>
          <w:highlight w:val="none"/>
        </w:rPr>
        <w:t>生成《居民基本养老保险</w:t>
      </w:r>
      <w:r>
        <w:rPr>
          <w:rFonts w:hint="eastAsia"/>
          <w:color w:val="auto"/>
          <w:highlight w:val="none"/>
        </w:rPr>
        <w:t>基金</w:t>
      </w:r>
      <w:r>
        <w:rPr>
          <w:color w:val="auto"/>
          <w:highlight w:val="none"/>
        </w:rPr>
        <w:t>支付审批表》</w:t>
      </w:r>
      <w:r>
        <w:rPr>
          <w:rFonts w:hint="eastAsia"/>
          <w:color w:val="auto"/>
          <w:highlight w:val="none"/>
        </w:rPr>
        <w:t>（附件9）</w:t>
      </w:r>
      <w:r>
        <w:rPr>
          <w:color w:val="auto"/>
          <w:highlight w:val="none"/>
        </w:rPr>
        <w:t>，送财政部门申请资金。</w:t>
      </w:r>
    </w:p>
    <w:p w14:paraId="0F1E2BB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color w:val="auto"/>
          <w:highlight w:val="none"/>
        </w:rPr>
        <w:t>县社保机构应</w:t>
      </w:r>
      <w:r>
        <w:rPr>
          <w:rFonts w:hint="eastAsia"/>
          <w:color w:val="auto"/>
          <w:highlight w:val="none"/>
          <w:lang w:val="en-US" w:eastAsia="zh-CN"/>
        </w:rPr>
        <w:t>当</w:t>
      </w:r>
      <w:r>
        <w:rPr>
          <w:color w:val="auto"/>
          <w:highlight w:val="none"/>
        </w:rPr>
        <w:t>在待遇发放前2个工作日内将发放资金从支出户划拨至社会化发放协议服务金融机构（以下简称</w:t>
      </w:r>
      <w:r>
        <w:rPr>
          <w:rFonts w:hint="eastAsia"/>
          <w:color w:val="auto"/>
          <w:highlight w:val="none"/>
        </w:rPr>
        <w:t>协议</w:t>
      </w:r>
      <w:r>
        <w:rPr>
          <w:color w:val="auto"/>
          <w:highlight w:val="none"/>
        </w:rPr>
        <w:t>金融机构），并将待遇支付明细传输给</w:t>
      </w:r>
      <w:r>
        <w:rPr>
          <w:rFonts w:hint="eastAsia"/>
          <w:color w:val="auto"/>
          <w:highlight w:val="none"/>
        </w:rPr>
        <w:t>协议</w:t>
      </w:r>
      <w:r>
        <w:rPr>
          <w:color w:val="auto"/>
          <w:highlight w:val="none"/>
        </w:rPr>
        <w:t>金融机构。</w:t>
      </w:r>
      <w:r>
        <w:rPr>
          <w:rFonts w:hint="eastAsia"/>
          <w:color w:val="auto"/>
          <w:highlight w:val="none"/>
        </w:rPr>
        <w:t>协议</w:t>
      </w:r>
      <w:r>
        <w:rPr>
          <w:color w:val="auto"/>
          <w:highlight w:val="none"/>
        </w:rPr>
        <w:t>金融机构应</w:t>
      </w:r>
      <w:r>
        <w:rPr>
          <w:rFonts w:hint="eastAsia"/>
          <w:color w:val="auto"/>
          <w:highlight w:val="none"/>
          <w:lang w:val="en-US" w:eastAsia="zh-CN"/>
        </w:rPr>
        <w:t>当</w:t>
      </w:r>
      <w:r>
        <w:rPr>
          <w:color w:val="auto"/>
          <w:highlight w:val="none"/>
        </w:rPr>
        <w:t>在规定时间内将支付金额划入待遇</w:t>
      </w:r>
      <w:r>
        <w:rPr>
          <w:rFonts w:hint="eastAsia"/>
          <w:color w:val="auto"/>
          <w:highlight w:val="none"/>
        </w:rPr>
        <w:t>享受</w:t>
      </w:r>
      <w:r>
        <w:rPr>
          <w:color w:val="auto"/>
          <w:highlight w:val="none"/>
        </w:rPr>
        <w:t>人员银行账户，</w:t>
      </w:r>
      <w:r>
        <w:rPr>
          <w:rFonts w:hint="eastAsia"/>
          <w:color w:val="auto"/>
          <w:highlight w:val="none"/>
          <w:lang w:val="en-US" w:eastAsia="zh-CN"/>
        </w:rPr>
        <w:t>并</w:t>
      </w:r>
      <w:r>
        <w:rPr>
          <w:color w:val="auto"/>
          <w:highlight w:val="none"/>
        </w:rPr>
        <w:t>实时</w:t>
      </w:r>
      <w:r>
        <w:rPr>
          <w:rFonts w:hint="eastAsia"/>
          <w:color w:val="auto"/>
          <w:highlight w:val="none"/>
        </w:rPr>
        <w:t>向县社保机构</w:t>
      </w:r>
      <w:r>
        <w:rPr>
          <w:color w:val="auto"/>
          <w:highlight w:val="none"/>
        </w:rPr>
        <w:t>传输资金支付明细。</w:t>
      </w:r>
    </w:p>
    <w:p w14:paraId="7549580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第三十四条  </w:t>
      </w:r>
      <w:r>
        <w:rPr>
          <w:rFonts w:hint="eastAsia"/>
          <w:color w:val="auto"/>
          <w:highlight w:val="none"/>
        </w:rPr>
        <w:t>县社保机构应</w:t>
      </w:r>
      <w:r>
        <w:rPr>
          <w:rFonts w:hint="eastAsia"/>
          <w:color w:val="auto"/>
          <w:highlight w:val="none"/>
          <w:lang w:val="en-US" w:eastAsia="zh-CN"/>
        </w:rPr>
        <w:t>当</w:t>
      </w:r>
      <w:r>
        <w:rPr>
          <w:rFonts w:hint="eastAsia"/>
          <w:color w:val="auto"/>
          <w:highlight w:val="none"/>
        </w:rPr>
        <w:t>对协议金融机构反馈的资金支付明细和支付回执凭证进行核对，核对无误后，在信息系统中进行支付确认处理，打印《居民基本养老保险基金支付汇总表》（附件10），并与协议金融机构当月出具的所有支付回执凭证进行核对，确保准确无误。对发放不成功的，县社保机构应</w:t>
      </w:r>
      <w:r>
        <w:rPr>
          <w:rFonts w:hint="eastAsia"/>
          <w:color w:val="auto"/>
          <w:highlight w:val="none"/>
          <w:lang w:val="en-US" w:eastAsia="zh-CN"/>
        </w:rPr>
        <w:t>当</w:t>
      </w:r>
      <w:r>
        <w:rPr>
          <w:rFonts w:hint="eastAsia"/>
          <w:color w:val="auto"/>
          <w:highlight w:val="none"/>
        </w:rPr>
        <w:t>会同协议金融机构及时解决，并进行再次发放。</w:t>
      </w:r>
    </w:p>
    <w:p w14:paraId="4343062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第三十五条  </w:t>
      </w:r>
      <w:r>
        <w:rPr>
          <w:rFonts w:hint="eastAsia"/>
          <w:color w:val="auto"/>
          <w:highlight w:val="none"/>
        </w:rPr>
        <w:t>待遇享受人员服刑的，按照《山东省人力资源和社会保障厅 山东省财政厅 国家税务总局山东省税务局 国家税务总局青岛市税务局关于完善居民基本养老保险政策有关问题的通知》（鲁人社发〔2022〕22号）规定办理。</w:t>
      </w:r>
    </w:p>
    <w:p w14:paraId="13C0AE6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b/>
          <w:color w:val="auto"/>
          <w:highlight w:val="none"/>
        </w:rPr>
      </w:pPr>
      <w:r>
        <w:rPr>
          <w:rFonts w:hint="eastAsia" w:ascii="黑体" w:hAnsi="黑体" w:eastAsia="黑体" w:cs="黑体"/>
          <w:color w:val="auto"/>
          <w:highlight w:val="none"/>
        </w:rPr>
        <w:t xml:space="preserve">第三十六条  </w:t>
      </w:r>
      <w:r>
        <w:rPr>
          <w:rFonts w:hint="eastAsia"/>
          <w:color w:val="auto"/>
          <w:highlight w:val="none"/>
        </w:rPr>
        <w:t>个</w:t>
      </w:r>
      <w:r>
        <w:rPr>
          <w:color w:val="auto"/>
          <w:highlight w:val="none"/>
        </w:rPr>
        <w:t>人</w:t>
      </w:r>
      <w:r>
        <w:rPr>
          <w:rFonts w:hint="eastAsia"/>
          <w:color w:val="auto"/>
          <w:highlight w:val="none"/>
        </w:rPr>
        <w:t>多享受的居民养老保险待遇，由县社保机构责令退回；</w:t>
      </w:r>
      <w:r>
        <w:rPr>
          <w:color w:val="auto"/>
          <w:highlight w:val="none"/>
        </w:rPr>
        <w:t>难以一次</w:t>
      </w:r>
      <w:r>
        <w:rPr>
          <w:rFonts w:hint="eastAsia"/>
          <w:color w:val="auto"/>
          <w:highlight w:val="none"/>
        </w:rPr>
        <w:t>性退</w:t>
      </w:r>
      <w:r>
        <w:rPr>
          <w:color w:val="auto"/>
          <w:highlight w:val="none"/>
        </w:rPr>
        <w:t>回的，</w:t>
      </w:r>
      <w:r>
        <w:rPr>
          <w:rFonts w:hint="eastAsia"/>
          <w:color w:val="auto"/>
          <w:highlight w:val="none"/>
        </w:rPr>
        <w:t>可以签订还款协议分期退回，也可以从其后续享受的社会保险待遇、个人账户余额或一次性待遇中抵扣。拒不退还的按有关规定办理。</w:t>
      </w:r>
    </w:p>
    <w:p w14:paraId="4C94FDE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p>
    <w:p w14:paraId="5AA4A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0"/>
          <w:szCs w:val="32"/>
          <w:highlight w:val="none"/>
        </w:rPr>
      </w:pPr>
      <w:r>
        <w:rPr>
          <w:rFonts w:hint="eastAsia" w:ascii="黑体" w:hAnsi="黑体" w:eastAsia="黑体" w:cs="黑体"/>
          <w:color w:val="auto"/>
          <w:kern w:val="0"/>
          <w:szCs w:val="32"/>
          <w:highlight w:val="none"/>
        </w:rPr>
        <w:br w:type="page"/>
      </w:r>
    </w:p>
    <w:p w14:paraId="78A72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Cs w:val="32"/>
          <w:highlight w:val="none"/>
        </w:rPr>
      </w:pPr>
      <w:r>
        <w:rPr>
          <w:rFonts w:hint="eastAsia" w:ascii="黑体" w:hAnsi="黑体" w:eastAsia="黑体" w:cs="黑体"/>
          <w:color w:val="auto"/>
          <w:kern w:val="0"/>
          <w:szCs w:val="32"/>
          <w:highlight w:val="none"/>
        </w:rPr>
        <w:t>第六章  待遇享受资格认证</w:t>
      </w:r>
    </w:p>
    <w:p w14:paraId="4AF63504">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Ansi="仿宋_GB2312" w:cs="仿宋_GB2312"/>
          <w:b/>
          <w:bCs/>
          <w:color w:val="auto"/>
          <w:kern w:val="0"/>
          <w:szCs w:val="32"/>
          <w:highlight w:val="none"/>
        </w:rPr>
      </w:pPr>
    </w:p>
    <w:p w14:paraId="637B22E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第三十七条  </w:t>
      </w:r>
      <w:r>
        <w:rPr>
          <w:rFonts w:hint="eastAsia"/>
          <w:color w:val="auto"/>
          <w:highlight w:val="none"/>
        </w:rPr>
        <w:t>社保机构应当通过信息比对、自助认证等方式，核验待遇享受资格。通过信息比对、自助认证等方式无法确认待遇享受资格的，可以通过基层党组织协助认证，社保机构也可以委托第三方机构进行核实。</w:t>
      </w:r>
    </w:p>
    <w:p w14:paraId="50EAC46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对涉嫌丧失待遇享受资格后继续享受待遇的，县社保机构应当调查核实。经调查确认不符合待遇享受资格的，停止发放待遇。</w:t>
      </w:r>
    </w:p>
    <w:p w14:paraId="180B9E7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第三十八条  </w:t>
      </w:r>
      <w:r>
        <w:rPr>
          <w:rFonts w:hint="eastAsia"/>
          <w:color w:val="auto"/>
          <w:highlight w:val="none"/>
        </w:rPr>
        <w:t>参保人员</w:t>
      </w:r>
      <w:r>
        <w:rPr>
          <w:rFonts w:hint="eastAsia"/>
          <w:color w:val="auto"/>
          <w:highlight w:val="none"/>
          <w:lang w:val="en-US" w:eastAsia="zh-CN"/>
        </w:rPr>
        <w:t>待遇享受资格确认周期最长为12个月</w:t>
      </w:r>
      <w:r>
        <w:rPr>
          <w:rFonts w:hint="eastAsia"/>
          <w:color w:val="auto"/>
          <w:highlight w:val="none"/>
        </w:rPr>
        <w:t>。社保机构应当建立认证数据采集、认证信息反馈、认证结果处理的全链条闭环工作机制。将信息比对、自助认证、基层党组织协助认证、社会化服务和上门服务、村（居）协办员上报等多渠道采集的认证信息与信息系统实时联动。</w:t>
      </w:r>
    </w:p>
    <w:p w14:paraId="706E940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信息系统应</w:t>
      </w:r>
      <w:r>
        <w:rPr>
          <w:rFonts w:hint="eastAsia"/>
          <w:color w:val="auto"/>
          <w:highlight w:val="none"/>
          <w:lang w:val="en-US" w:eastAsia="zh-CN"/>
        </w:rPr>
        <w:t>当</w:t>
      </w:r>
      <w:r>
        <w:rPr>
          <w:rFonts w:hint="eastAsia"/>
          <w:color w:val="auto"/>
          <w:highlight w:val="none"/>
        </w:rPr>
        <w:t>记录认证的时间、渠道和结果等信息，符合待遇享受条件的，以最后认证时间作为下一个认证期的起始时间。</w:t>
      </w:r>
    </w:p>
    <w:p w14:paraId="753F2BD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bCs/>
          <w:color w:val="auto"/>
          <w:highlight w:val="none"/>
        </w:rPr>
      </w:pPr>
      <w:r>
        <w:rPr>
          <w:rFonts w:hint="eastAsia" w:ascii="黑体" w:hAnsi="黑体" w:eastAsia="黑体" w:cs="黑体"/>
          <w:color w:val="auto"/>
          <w:highlight w:val="none"/>
        </w:rPr>
        <w:t xml:space="preserve">第三十九条  </w:t>
      </w:r>
      <w:r>
        <w:rPr>
          <w:rFonts w:hint="eastAsia"/>
          <w:color w:val="auto"/>
          <w:highlight w:val="none"/>
        </w:rPr>
        <w:t>待遇享受人员出现死亡、丧失国籍、享受其他基本养老保障待遇等停止享受居民养老保险待遇的情形，待遇享受人员或其</w:t>
      </w:r>
      <w:r>
        <w:rPr>
          <w:color w:val="auto"/>
          <w:highlight w:val="none"/>
        </w:rPr>
        <w:t>亲</w:t>
      </w:r>
      <w:r>
        <w:rPr>
          <w:rFonts w:hint="eastAsia"/>
          <w:color w:val="auto"/>
          <w:highlight w:val="none"/>
        </w:rPr>
        <w:t>属应当自</w:t>
      </w:r>
      <w:r>
        <w:rPr>
          <w:rFonts w:hint="eastAsia"/>
          <w:bCs/>
          <w:color w:val="auto"/>
          <w:highlight w:val="none"/>
        </w:rPr>
        <w:t>相关情形发生之日起</w:t>
      </w:r>
      <w:r>
        <w:rPr>
          <w:bCs/>
          <w:color w:val="auto"/>
          <w:highlight w:val="none"/>
        </w:rPr>
        <w:t>20</w:t>
      </w:r>
      <w:r>
        <w:rPr>
          <w:rFonts w:hint="eastAsia"/>
          <w:bCs/>
          <w:color w:val="auto"/>
          <w:highlight w:val="none"/>
        </w:rPr>
        <w:t>个工作日内自行或通过村（居）协办员告知县社保机构。县社保机构核实后应当停止发放居民养老保险待遇。</w:t>
      </w:r>
    </w:p>
    <w:p w14:paraId="18747F0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村（居）协办员应</w:t>
      </w:r>
      <w:r>
        <w:rPr>
          <w:rFonts w:hint="eastAsia"/>
          <w:color w:val="auto"/>
          <w:highlight w:val="none"/>
          <w:lang w:val="en-US" w:eastAsia="zh-CN"/>
        </w:rPr>
        <w:t>当</w:t>
      </w:r>
      <w:r>
        <w:rPr>
          <w:rFonts w:hint="eastAsia"/>
          <w:color w:val="auto"/>
          <w:highlight w:val="none"/>
        </w:rPr>
        <w:t>于每月</w:t>
      </w:r>
      <w:r>
        <w:rPr>
          <w:color w:val="auto"/>
          <w:highlight w:val="none"/>
        </w:rPr>
        <w:t>5</w:t>
      </w:r>
      <w:r>
        <w:rPr>
          <w:rFonts w:hint="eastAsia"/>
          <w:color w:val="auto"/>
          <w:highlight w:val="none"/>
        </w:rPr>
        <w:t>日前将本村（居）上月死亡人员名单（含姓名、有效身份证件号码、死亡日期等</w:t>
      </w:r>
      <w:r>
        <w:rPr>
          <w:rFonts w:hint="eastAsia"/>
          <w:color w:val="auto"/>
          <w:highlight w:val="none"/>
          <w:lang w:val="en-US" w:eastAsia="zh-CN"/>
        </w:rPr>
        <w:t>基本</w:t>
      </w:r>
      <w:r>
        <w:rPr>
          <w:rFonts w:hint="eastAsia"/>
          <w:color w:val="auto"/>
          <w:highlight w:val="none"/>
        </w:rPr>
        <w:t>信息）报送至乡镇（街道）服务中心，乡镇（街道）服务中心应</w:t>
      </w:r>
      <w:r>
        <w:rPr>
          <w:rFonts w:hint="eastAsia"/>
          <w:color w:val="auto"/>
          <w:highlight w:val="none"/>
          <w:lang w:val="en-US" w:eastAsia="zh-CN"/>
        </w:rPr>
        <w:t>当</w:t>
      </w:r>
      <w:r>
        <w:rPr>
          <w:rFonts w:hint="eastAsia"/>
          <w:color w:val="auto"/>
          <w:highlight w:val="none"/>
        </w:rPr>
        <w:t>于当月</w:t>
      </w:r>
      <w:r>
        <w:rPr>
          <w:color w:val="auto"/>
          <w:highlight w:val="none"/>
        </w:rPr>
        <w:t>10</w:t>
      </w:r>
      <w:r>
        <w:rPr>
          <w:rFonts w:hint="eastAsia"/>
          <w:color w:val="auto"/>
          <w:highlight w:val="none"/>
        </w:rPr>
        <w:t>日前汇总上报县社保机构。</w:t>
      </w:r>
    </w:p>
    <w:p w14:paraId="5ACD550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第四十条  </w:t>
      </w:r>
      <w:r>
        <w:rPr>
          <w:rFonts w:hint="eastAsia"/>
          <w:color w:val="auto"/>
          <w:highlight w:val="none"/>
        </w:rPr>
        <w:t>县社保机构应</w:t>
      </w:r>
      <w:r>
        <w:rPr>
          <w:rFonts w:hint="eastAsia"/>
          <w:color w:val="auto"/>
          <w:highlight w:val="none"/>
          <w:lang w:val="en-US" w:eastAsia="zh-CN"/>
        </w:rPr>
        <w:t>当</w:t>
      </w:r>
      <w:r>
        <w:rPr>
          <w:rFonts w:hint="eastAsia"/>
          <w:color w:val="auto"/>
          <w:highlight w:val="none"/>
        </w:rPr>
        <w:t>及时整理多渠道认证数据，形成具备待遇享受资格人员名单、丧失待遇享受资格人员名单和待核实人员名单，并做好相应标识。</w:t>
      </w:r>
    </w:p>
    <w:p w14:paraId="70477F8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第四十一条  </w:t>
      </w:r>
      <w:r>
        <w:rPr>
          <w:rFonts w:hint="eastAsia"/>
          <w:color w:val="auto"/>
          <w:highlight w:val="none"/>
        </w:rPr>
        <w:t>确认具备待遇享受资格的，要及时发放待遇；确认丧失待遇享受资格的，要及时停止发放待遇。</w:t>
      </w:r>
    </w:p>
    <w:p w14:paraId="5E0C72E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第四十二条  </w:t>
      </w:r>
      <w:r>
        <w:rPr>
          <w:rFonts w:hint="eastAsia"/>
          <w:color w:val="auto"/>
          <w:highlight w:val="none"/>
        </w:rPr>
        <w:t>对于跨部门共享信息显示死亡但本地信息系统仍然正常发放待遇的、同时存在于具备和丧失待遇享受资格人员名单中的、</w:t>
      </w:r>
      <w:r>
        <w:rPr>
          <w:rFonts w:hint="eastAsia"/>
          <w:color w:val="auto"/>
          <w:highlight w:val="none"/>
          <w:lang w:val="en-US" w:eastAsia="zh-CN"/>
        </w:rPr>
        <w:t>以及</w:t>
      </w:r>
      <w:r>
        <w:rPr>
          <w:rFonts w:hint="eastAsia"/>
          <w:color w:val="auto"/>
          <w:highlight w:val="none"/>
        </w:rPr>
        <w:t>认证期满前三个月仍未获取有效认证信息的均应</w:t>
      </w:r>
      <w:r>
        <w:rPr>
          <w:rFonts w:hint="eastAsia"/>
          <w:color w:val="auto"/>
          <w:highlight w:val="none"/>
          <w:lang w:val="en-US" w:eastAsia="zh-CN"/>
        </w:rPr>
        <w:t>当</w:t>
      </w:r>
      <w:r>
        <w:rPr>
          <w:rFonts w:hint="eastAsia"/>
          <w:color w:val="auto"/>
          <w:highlight w:val="none"/>
        </w:rPr>
        <w:t>列为待核实人员。</w:t>
      </w:r>
    </w:p>
    <w:p w14:paraId="6524CD2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县社保机构应</w:t>
      </w:r>
      <w:r>
        <w:rPr>
          <w:rFonts w:hint="eastAsia"/>
          <w:color w:val="auto"/>
          <w:highlight w:val="none"/>
          <w:lang w:val="en-US" w:eastAsia="zh-CN"/>
        </w:rPr>
        <w:t>当</w:t>
      </w:r>
      <w:r>
        <w:rPr>
          <w:rFonts w:hint="eastAsia"/>
          <w:color w:val="auto"/>
          <w:highlight w:val="none"/>
        </w:rPr>
        <w:t>建立核实工作台账，每月初将待核实人员名单下发至户籍地乡镇（街道）服务中心和村（居）协办员逐一核实。</w:t>
      </w:r>
    </w:p>
    <w:p w14:paraId="05AD876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信息核实可通过社会化服务、政府购买服务、上门服务、村（居）协办员上报等方式进行。</w:t>
      </w:r>
    </w:p>
    <w:p w14:paraId="02E913E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乡镇（街道）服务中心和村（居）协办员应</w:t>
      </w:r>
      <w:r>
        <w:rPr>
          <w:rFonts w:hint="eastAsia"/>
          <w:color w:val="auto"/>
          <w:highlight w:val="none"/>
          <w:lang w:val="en-US" w:eastAsia="zh-CN"/>
        </w:rPr>
        <w:t>当</w:t>
      </w:r>
      <w:r>
        <w:rPr>
          <w:rFonts w:hint="eastAsia"/>
          <w:color w:val="auto"/>
          <w:highlight w:val="none"/>
        </w:rPr>
        <w:t>于接收名单之日起三个月内完成信息核实，建立业务台账，并将核实结果及时反馈至县社保机构。</w:t>
      </w:r>
    </w:p>
    <w:p w14:paraId="508C9AA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第四十三条  </w:t>
      </w:r>
      <w:r>
        <w:rPr>
          <w:rFonts w:hint="eastAsia"/>
          <w:color w:val="auto"/>
          <w:highlight w:val="none"/>
        </w:rPr>
        <w:t>对经上述核实手段仍无法确认是否具备待遇享受资格的人员，县社保机构要在一个认证期满时暂停居民养老保险待遇发放。若相关人员有异议，县社保机构按规定进行信息核实，经核实后确定仍然具备待遇享受资格的人员，应</w:t>
      </w:r>
      <w:r>
        <w:rPr>
          <w:rFonts w:hint="eastAsia"/>
          <w:color w:val="auto"/>
          <w:highlight w:val="none"/>
          <w:lang w:val="en-US" w:eastAsia="zh-CN"/>
        </w:rPr>
        <w:t>当</w:t>
      </w:r>
      <w:r>
        <w:rPr>
          <w:rFonts w:hint="eastAsia"/>
          <w:color w:val="auto"/>
          <w:highlight w:val="none"/>
        </w:rPr>
        <w:t>立即恢复发放，并补发停发期间的居民养老保险待遇（服刑人员除外）。</w:t>
      </w:r>
    </w:p>
    <w:p w14:paraId="1C1CF3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Cs w:val="32"/>
          <w:highlight w:val="none"/>
        </w:rPr>
      </w:pPr>
      <w:r>
        <w:rPr>
          <w:rFonts w:hint="eastAsia" w:ascii="黑体" w:hAnsi="黑体" w:eastAsia="黑体" w:cs="黑体"/>
          <w:color w:val="auto"/>
          <w:kern w:val="0"/>
          <w:szCs w:val="32"/>
          <w:highlight w:val="none"/>
        </w:rPr>
        <w:t>第七章  注销登记</w:t>
      </w:r>
    </w:p>
    <w:p w14:paraId="4410A431">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s="黑体"/>
          <w:color w:val="auto"/>
          <w:kern w:val="0"/>
          <w:szCs w:val="32"/>
          <w:highlight w:val="none"/>
        </w:rPr>
      </w:pPr>
    </w:p>
    <w:p w14:paraId="642408B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第四十四条  </w:t>
      </w:r>
      <w:r>
        <w:rPr>
          <w:rFonts w:hint="eastAsia"/>
          <w:color w:val="auto"/>
          <w:highlight w:val="none"/>
        </w:rPr>
        <w:t>出现以下情形之一的应当进行注销登记，终止其居民养老保险关系：参保人员死亡、丧失国籍或已享受其他基本养老保障待遇。</w:t>
      </w:r>
    </w:p>
    <w:p w14:paraId="60AC6EA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第四十五条  </w:t>
      </w:r>
      <w:r>
        <w:rPr>
          <w:rFonts w:hint="eastAsia"/>
          <w:color w:val="auto"/>
          <w:highlight w:val="none"/>
        </w:rPr>
        <w:t>县社保机构办理注销登记时，应</w:t>
      </w:r>
      <w:r>
        <w:rPr>
          <w:rFonts w:hint="eastAsia"/>
          <w:color w:val="auto"/>
          <w:highlight w:val="none"/>
          <w:lang w:val="en-US" w:eastAsia="zh-CN"/>
        </w:rPr>
        <w:t>当</w:t>
      </w:r>
      <w:r>
        <w:rPr>
          <w:rFonts w:hint="eastAsia"/>
          <w:color w:val="auto"/>
          <w:highlight w:val="none"/>
        </w:rPr>
        <w:t>遵循告知承诺制，不得要求参保人员、指定受益人或法定继承人提供死亡证明或关系证明等材料。</w:t>
      </w:r>
    </w:p>
    <w:p w14:paraId="683B833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ascii="仿宋" w:hAnsi="仿宋" w:eastAsia="仿宋" w:cs="Times New Roman"/>
          <w:color w:val="auto"/>
          <w:highlight w:val="none"/>
        </w:rPr>
      </w:pPr>
      <w:r>
        <w:rPr>
          <w:rFonts w:hint="eastAsia"/>
          <w:color w:val="auto"/>
          <w:highlight w:val="none"/>
        </w:rPr>
        <w:t>参保人员死亡的，其指定受益人或法定继承人可通过线上服务渠道，上传指定受益人或法定继承人有效身份证件，填写《居民基本养老保险注销登记表》（以下简称《注销表》，附件11）相关信息，作出承诺，办理注销登记</w:t>
      </w:r>
      <w:r>
        <w:rPr>
          <w:rFonts w:hint="eastAsia"/>
          <w:color w:val="auto"/>
          <w:highlight w:val="none"/>
          <w:lang w:eastAsia="zh-CN"/>
        </w:rPr>
        <w:t>；</w:t>
      </w:r>
      <w:r>
        <w:rPr>
          <w:rFonts w:hint="eastAsia"/>
          <w:color w:val="auto"/>
          <w:highlight w:val="none"/>
        </w:rPr>
        <w:t>其指定受益人或法定继承人也可携带本人有效身份证件，通过线下服务渠道，填写《注销表》作出承诺，现场办理。</w:t>
      </w:r>
    </w:p>
    <w:p w14:paraId="6A92D6C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丧失国籍或已享受其他基本养老保障待遇的，参保人员可通过线上服务渠道，利用人脸识别等方式实名认证后，填写《注销表》相关信息，作出承诺，办理注销登记</w:t>
      </w:r>
      <w:r>
        <w:rPr>
          <w:rFonts w:hint="eastAsia"/>
          <w:color w:val="auto"/>
          <w:highlight w:val="none"/>
          <w:lang w:eastAsia="zh-CN"/>
        </w:rPr>
        <w:t>；</w:t>
      </w:r>
      <w:r>
        <w:rPr>
          <w:rFonts w:hint="eastAsia"/>
          <w:color w:val="auto"/>
          <w:highlight w:val="none"/>
        </w:rPr>
        <w:t>也可通过线下服务渠道，利用人脸识别等方式实名认证或提供有效身份证件，填写《注销表》作出承诺，现场办理。</w:t>
      </w:r>
    </w:p>
    <w:p w14:paraId="61E966E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第四十六条  </w:t>
      </w:r>
      <w:r>
        <w:rPr>
          <w:rFonts w:hint="eastAsia"/>
          <w:color w:val="auto"/>
          <w:highlight w:val="none"/>
        </w:rPr>
        <w:t>县社保机构应</w:t>
      </w:r>
      <w:r>
        <w:rPr>
          <w:rFonts w:hint="eastAsia"/>
          <w:color w:val="auto"/>
          <w:highlight w:val="none"/>
          <w:lang w:val="en-US" w:eastAsia="zh-CN"/>
        </w:rPr>
        <w:t>当</w:t>
      </w:r>
      <w:r>
        <w:rPr>
          <w:rFonts w:hint="eastAsia"/>
          <w:color w:val="auto"/>
          <w:highlight w:val="none"/>
        </w:rPr>
        <w:t>通过数据比对等方式，对注销登记信息进行审核，自收到注销登记申请之日起5个工作日内办理完毕，并将结果告知相关人员，或者提供办理情况查询服务。审核通过的，应</w:t>
      </w:r>
      <w:r>
        <w:rPr>
          <w:rFonts w:hint="eastAsia"/>
          <w:color w:val="auto"/>
          <w:highlight w:val="none"/>
          <w:lang w:val="en-US" w:eastAsia="zh-CN"/>
        </w:rPr>
        <w:t>当</w:t>
      </w:r>
      <w:r>
        <w:rPr>
          <w:rFonts w:hint="eastAsia"/>
          <w:color w:val="auto"/>
          <w:highlight w:val="none"/>
        </w:rPr>
        <w:t>同时在信息系统中确认，及</w:t>
      </w:r>
      <w:r>
        <w:rPr>
          <w:color w:val="auto"/>
          <w:highlight w:val="none"/>
        </w:rPr>
        <w:t>时通过</w:t>
      </w:r>
      <w:r>
        <w:rPr>
          <w:rFonts w:hint="eastAsia"/>
          <w:color w:val="auto"/>
          <w:highlight w:val="none"/>
        </w:rPr>
        <w:t>信息</w:t>
      </w:r>
      <w:r>
        <w:rPr>
          <w:color w:val="auto"/>
          <w:highlight w:val="none"/>
        </w:rPr>
        <w:t>共享平台</w:t>
      </w:r>
      <w:r>
        <w:rPr>
          <w:rFonts w:hint="eastAsia"/>
          <w:color w:val="auto"/>
          <w:highlight w:val="none"/>
          <w:lang w:val="en-US" w:eastAsia="zh-CN"/>
        </w:rPr>
        <w:t>传递</w:t>
      </w:r>
      <w:r>
        <w:rPr>
          <w:color w:val="auto"/>
          <w:highlight w:val="none"/>
        </w:rPr>
        <w:t>给税务</w:t>
      </w:r>
      <w:r>
        <w:rPr>
          <w:rFonts w:hint="eastAsia"/>
          <w:color w:val="auto"/>
          <w:highlight w:val="none"/>
        </w:rPr>
        <w:t>部门，留存《注销表》、有效身份证件等材料，结算被注销人员的个人账户余额和丧葬补助金。</w:t>
      </w:r>
    </w:p>
    <w:p w14:paraId="25939BA2">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s="黑体"/>
          <w:color w:val="auto"/>
          <w:kern w:val="0"/>
          <w:szCs w:val="32"/>
          <w:highlight w:val="none"/>
        </w:rPr>
      </w:pPr>
    </w:p>
    <w:p w14:paraId="1A35CF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Cs w:val="32"/>
          <w:highlight w:val="none"/>
        </w:rPr>
      </w:pPr>
      <w:r>
        <w:rPr>
          <w:rFonts w:hint="eastAsia" w:ascii="黑体" w:hAnsi="黑体" w:eastAsia="黑体" w:cs="黑体"/>
          <w:color w:val="auto"/>
          <w:kern w:val="0"/>
          <w:szCs w:val="32"/>
          <w:highlight w:val="none"/>
        </w:rPr>
        <w:t>第八章  跨省关系转移接续和省内个人账户归集</w:t>
      </w:r>
    </w:p>
    <w:p w14:paraId="7F076B3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p>
    <w:p w14:paraId="4B5CC24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第四十七条  </w:t>
      </w:r>
      <w:r>
        <w:rPr>
          <w:rFonts w:hint="eastAsia"/>
          <w:color w:val="auto"/>
          <w:highlight w:val="none"/>
        </w:rPr>
        <w:t>参加居民养老保险且未享受待遇的个人跨统筹地区迁移户籍，其居民养老保险关系可以随同转移。</w:t>
      </w:r>
    </w:p>
    <w:p w14:paraId="231673D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第四十八条  </w:t>
      </w:r>
      <w:r>
        <w:rPr>
          <w:rFonts w:hint="eastAsia"/>
          <w:color w:val="auto"/>
          <w:highlight w:val="none"/>
        </w:rPr>
        <w:t>参保人员已经按规定享受居民养老保险待遇的，无论户籍是否迁移，其养老保险关系不转移，继续在原参保地享受待遇，待遇享受资格认证由待遇发放地社保机构负责。</w:t>
      </w:r>
    </w:p>
    <w:p w14:paraId="35D4BAB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第四十九条  </w:t>
      </w:r>
      <w:r>
        <w:rPr>
          <w:rFonts w:hint="eastAsia"/>
          <w:color w:val="auto"/>
          <w:highlight w:val="none"/>
        </w:rPr>
        <w:t>在缴费期间，参保人员户籍由外省迁移至我省的，在新户籍地办理参保登记后，可通过线上服务渠道，利用</w:t>
      </w:r>
      <w:r>
        <w:rPr>
          <w:rFonts w:hint="eastAsia"/>
          <w:color w:val="auto"/>
          <w:highlight w:val="none"/>
          <w:lang w:eastAsia="zh-CN"/>
        </w:rPr>
        <w:t>人脸识别</w:t>
      </w:r>
      <w:r>
        <w:rPr>
          <w:rFonts w:hint="eastAsia"/>
          <w:color w:val="auto"/>
          <w:highlight w:val="none"/>
        </w:rPr>
        <w:t>等方式实名认证后，</w:t>
      </w:r>
      <w:r>
        <w:rPr>
          <w:rFonts w:hint="eastAsia"/>
          <w:color w:val="auto"/>
          <w:highlight w:val="none"/>
          <w:lang w:eastAsia="zh-CN"/>
        </w:rPr>
        <w:t>通过</w:t>
      </w:r>
      <w:r>
        <w:rPr>
          <w:rFonts w:hint="eastAsia"/>
          <w:color w:val="auto"/>
          <w:highlight w:val="none"/>
        </w:rPr>
        <w:t>共享数据进行户籍信息核验，无法</w:t>
      </w:r>
      <w:r>
        <w:rPr>
          <w:rFonts w:hint="eastAsia"/>
          <w:color w:val="auto"/>
          <w:highlight w:val="none"/>
          <w:lang w:eastAsia="zh-CN"/>
        </w:rPr>
        <w:t>核验</w:t>
      </w:r>
      <w:r>
        <w:rPr>
          <w:rFonts w:hint="eastAsia"/>
          <w:color w:val="auto"/>
          <w:highlight w:val="none"/>
        </w:rPr>
        <w:t>户籍信息的，上传变更后的户口簿首页及本人页，填写《居民基本养老保险关系跨省转入申请表》（以下简称《转入申请表》，附件12）有关信息，向转入地县社保机构提出关系转入申请；也可通过转入地线下服务渠道，利用人脸识别等方式实名认证或提供有效身份证件，</w:t>
      </w:r>
      <w:r>
        <w:rPr>
          <w:rFonts w:hint="eastAsia"/>
          <w:color w:val="auto"/>
          <w:highlight w:val="none"/>
          <w:lang w:eastAsia="zh-CN"/>
        </w:rPr>
        <w:t>通过</w:t>
      </w:r>
      <w:r>
        <w:rPr>
          <w:rFonts w:hint="eastAsia"/>
          <w:color w:val="auto"/>
          <w:highlight w:val="none"/>
        </w:rPr>
        <w:t>共享数据进行户籍信息核验，无法</w:t>
      </w:r>
      <w:r>
        <w:rPr>
          <w:rFonts w:hint="eastAsia"/>
          <w:color w:val="auto"/>
          <w:highlight w:val="none"/>
          <w:lang w:eastAsia="zh-CN"/>
        </w:rPr>
        <w:t>核验</w:t>
      </w:r>
      <w:r>
        <w:rPr>
          <w:rFonts w:hint="eastAsia"/>
          <w:color w:val="auto"/>
          <w:highlight w:val="none"/>
        </w:rPr>
        <w:t>户籍信息的，填写《转入申请表》，现场申请。</w:t>
      </w:r>
    </w:p>
    <w:p w14:paraId="488BAFB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第五十条  </w:t>
      </w:r>
      <w:r>
        <w:rPr>
          <w:rFonts w:hint="eastAsia"/>
          <w:color w:val="auto"/>
          <w:highlight w:val="none"/>
        </w:rPr>
        <w:t>转入地县社保机构受理转入申请后，应</w:t>
      </w:r>
      <w:r>
        <w:rPr>
          <w:rFonts w:hint="eastAsia"/>
          <w:color w:val="auto"/>
          <w:highlight w:val="none"/>
          <w:lang w:val="en-US" w:eastAsia="zh-CN"/>
        </w:rPr>
        <w:t>当</w:t>
      </w:r>
      <w:r>
        <w:rPr>
          <w:rFonts w:hint="eastAsia"/>
          <w:color w:val="auto"/>
          <w:highlight w:val="none"/>
        </w:rPr>
        <w:t>通过数据比对等方式核实相关信息，自收到转入申请之日起5个工作日内告知</w:t>
      </w:r>
      <w:r>
        <w:rPr>
          <w:rFonts w:hint="eastAsia"/>
          <w:color w:val="auto"/>
          <w:highlight w:val="none"/>
          <w:lang w:val="en-US" w:eastAsia="zh-CN"/>
        </w:rPr>
        <w:t>审核结果</w:t>
      </w:r>
      <w:r>
        <w:rPr>
          <w:rFonts w:hint="eastAsia"/>
          <w:color w:val="auto"/>
          <w:highlight w:val="none"/>
        </w:rPr>
        <w:t>。审核通过的，转入地县社保机构应</w:t>
      </w:r>
      <w:r>
        <w:rPr>
          <w:rFonts w:hint="eastAsia"/>
          <w:color w:val="auto"/>
          <w:highlight w:val="none"/>
          <w:lang w:val="en-US" w:eastAsia="zh-CN"/>
        </w:rPr>
        <w:t>当</w:t>
      </w:r>
      <w:r>
        <w:rPr>
          <w:rFonts w:hint="eastAsia"/>
          <w:color w:val="auto"/>
          <w:highlight w:val="none"/>
        </w:rPr>
        <w:t>自审核通过之日起2个工作日内，通过社会保险关系转移系统（以下简称转移系统）向转出地县社保机构发出《居民基本养老保险关系跨省转入接收函》（以下简称《接收函》，附件13）。</w:t>
      </w:r>
    </w:p>
    <w:p w14:paraId="57F5422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转出地县社保机构及时通过转移系统下载《接收函》，对申请转移的参保人员相关信息进行核实，符合转移条件的，在信息系统中为参保人员进行结息处理，计息至上年度12月31日，生成《居民基本养老保险关系跨省转出审批表》（以下简称《审批表》，附件14），并于下载《接收函》之日起3个工作日内通过转移系统传送至转入地县社保机构，于发送《审批表》之日起5个工作日内</w:t>
      </w:r>
      <w:r>
        <w:rPr>
          <w:rFonts w:hint="eastAsia"/>
          <w:color w:val="auto"/>
          <w:highlight w:val="none"/>
          <w:lang w:val="en-US" w:eastAsia="zh-CN"/>
        </w:rPr>
        <w:t>,</w:t>
      </w:r>
      <w:r>
        <w:rPr>
          <w:rFonts w:hint="eastAsia"/>
          <w:color w:val="auto"/>
          <w:highlight w:val="none"/>
        </w:rPr>
        <w:t>通过“社银直连”的方式将参保人员个人账户储存额一次性划拨</w:t>
      </w:r>
      <w:r>
        <w:rPr>
          <w:rFonts w:hint="eastAsia"/>
          <w:color w:val="auto"/>
          <w:highlight w:val="none"/>
          <w:lang w:val="en-US" w:eastAsia="zh-CN"/>
        </w:rPr>
        <w:t>至</w:t>
      </w:r>
      <w:r>
        <w:rPr>
          <w:rFonts w:hint="eastAsia"/>
          <w:color w:val="auto"/>
          <w:highlight w:val="none"/>
        </w:rPr>
        <w:t xml:space="preserve">转入地县社保机构指定的银行账户，终止申请转移人员在本地的居民养老保险关系，并按规定保留原有记录备查。 </w:t>
      </w:r>
    </w:p>
    <w:p w14:paraId="34EF5E45">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转入地县社保机构通过转移系统及时下载《审批表》，确认转入的个人账户储存额足额到账后，及时进行实收处理，通过转移系统做办结反馈处理，将转移信息录入信息系统，为转入人员建立并记录个人账户，从转入当年的1月1日起开始计息。</w:t>
      </w:r>
    </w:p>
    <w:p w14:paraId="2029D5F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第五十一条  </w:t>
      </w:r>
      <w:r>
        <w:rPr>
          <w:rFonts w:hint="eastAsia"/>
          <w:color w:val="auto"/>
          <w:highlight w:val="none"/>
        </w:rPr>
        <w:t>参保人员对转入的个人账户记录有异议的，可通过线下服务渠道提供相关证据，提出核查申请。接到申请后，转入地县社保机构应</w:t>
      </w:r>
      <w:r>
        <w:rPr>
          <w:rFonts w:hint="eastAsia"/>
          <w:color w:val="auto"/>
          <w:highlight w:val="none"/>
          <w:lang w:val="en-US" w:eastAsia="zh-CN"/>
        </w:rPr>
        <w:t>当</w:t>
      </w:r>
      <w:r>
        <w:rPr>
          <w:rFonts w:hint="eastAsia"/>
          <w:color w:val="auto"/>
          <w:highlight w:val="none"/>
        </w:rPr>
        <w:t>及时联系转出地</w:t>
      </w:r>
      <w:r>
        <w:rPr>
          <w:rFonts w:hint="eastAsia"/>
          <w:color w:val="auto"/>
          <w:highlight w:val="none"/>
          <w:lang w:val="en-US" w:eastAsia="zh-CN"/>
        </w:rPr>
        <w:t>县</w:t>
      </w:r>
      <w:r>
        <w:rPr>
          <w:rFonts w:hint="eastAsia"/>
          <w:color w:val="auto"/>
          <w:highlight w:val="none"/>
        </w:rPr>
        <w:t>社保机构处理，并将结果告知参保人员。</w:t>
      </w:r>
    </w:p>
    <w:p w14:paraId="1F77159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第五十二条  </w:t>
      </w:r>
      <w:r>
        <w:rPr>
          <w:rFonts w:hint="eastAsia"/>
          <w:color w:val="auto"/>
          <w:highlight w:val="none"/>
        </w:rPr>
        <w:t>关系转移过程中，参保人员可通过转入地县社保机构提供的渠道查询办理进度。</w:t>
      </w:r>
    </w:p>
    <w:p w14:paraId="23FCB15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第五十三条  </w:t>
      </w:r>
      <w:r>
        <w:rPr>
          <w:rFonts w:hint="eastAsia"/>
          <w:color w:val="auto"/>
          <w:highlight w:val="none"/>
        </w:rPr>
        <w:t>在缴费期间，参</w:t>
      </w:r>
      <w:r>
        <w:rPr>
          <w:color w:val="auto"/>
          <w:highlight w:val="none"/>
        </w:rPr>
        <w:t>保人员</w:t>
      </w:r>
      <w:r>
        <w:rPr>
          <w:rFonts w:hint="eastAsia"/>
          <w:color w:val="auto"/>
          <w:highlight w:val="none"/>
        </w:rPr>
        <w:t>省内迁移户籍的，无需办理居民养老保险关系转移接续手续。达到待遇享受年龄前6个月，由最后参保地社保机构归集</w:t>
      </w:r>
      <w:r>
        <w:rPr>
          <w:color w:val="auto"/>
          <w:highlight w:val="none"/>
        </w:rPr>
        <w:t>个人账户基金</w:t>
      </w:r>
      <w:r>
        <w:rPr>
          <w:rFonts w:hint="eastAsia"/>
          <w:color w:val="auto"/>
          <w:highlight w:val="none"/>
        </w:rPr>
        <w:t>，归</w:t>
      </w:r>
      <w:r>
        <w:rPr>
          <w:color w:val="auto"/>
          <w:highlight w:val="none"/>
        </w:rPr>
        <w:t>集完成后按规定办</w:t>
      </w:r>
      <w:r>
        <w:rPr>
          <w:rFonts w:hint="eastAsia"/>
          <w:color w:val="auto"/>
          <w:highlight w:val="none"/>
        </w:rPr>
        <w:t>理待遇享受</w:t>
      </w:r>
      <w:r>
        <w:rPr>
          <w:color w:val="auto"/>
          <w:highlight w:val="none"/>
        </w:rPr>
        <w:t>手续</w:t>
      </w:r>
      <w:r>
        <w:rPr>
          <w:rFonts w:hint="eastAsia"/>
          <w:color w:val="auto"/>
          <w:highlight w:val="none"/>
        </w:rPr>
        <w:t>。</w:t>
      </w:r>
    </w:p>
    <w:p w14:paraId="67EAB19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第五十四条  </w:t>
      </w:r>
      <w:r>
        <w:rPr>
          <w:rFonts w:hint="eastAsia"/>
          <w:color w:val="auto"/>
          <w:highlight w:val="none"/>
        </w:rPr>
        <w:t>参保人员省内迁移户籍且在新户籍地办理参保登记的，原参保地个人账户设为待归集账户，原参保地为待归集地，最后参保地为归集地。</w:t>
      </w:r>
    </w:p>
    <w:p w14:paraId="03CBBC6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eastAsia="仿宋_GB2312"/>
          <w:color w:val="auto"/>
          <w:highlight w:val="none"/>
          <w:lang w:val="en-US" w:eastAsia="zh-CN"/>
        </w:rPr>
      </w:pPr>
      <w:r>
        <w:rPr>
          <w:rFonts w:hint="eastAsia"/>
          <w:color w:val="auto"/>
          <w:highlight w:val="none"/>
        </w:rPr>
        <w:t>参保人员在省内多次迁移户籍并参保的，除最后参保地外，其他参保地均为待归集地。</w:t>
      </w:r>
    </w:p>
    <w:p w14:paraId="16D5EF4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spacing w:val="-5"/>
          <w:sz w:val="32"/>
          <w:highlight w:val="none"/>
        </w:rPr>
      </w:pPr>
      <w:r>
        <w:rPr>
          <w:rFonts w:hint="eastAsia" w:ascii="黑体" w:hAnsi="黑体" w:eastAsia="黑体" w:cs="黑体"/>
          <w:color w:val="auto"/>
          <w:highlight w:val="none"/>
        </w:rPr>
        <w:t xml:space="preserve">第五十五条  </w:t>
      </w:r>
      <w:r>
        <w:rPr>
          <w:rFonts w:hint="eastAsia"/>
          <w:color w:val="auto"/>
          <w:highlight w:val="none"/>
        </w:rPr>
        <w:t>待归集地社保机构按规定为待归集账户计息，除办理被征地政府补贴资金落实、被征地农民个人缴费或被征地</w:t>
      </w:r>
      <w:r>
        <w:rPr>
          <w:rFonts w:hint="eastAsia"/>
          <w:color w:val="auto"/>
          <w:spacing w:val="-5"/>
          <w:sz w:val="32"/>
          <w:highlight w:val="none"/>
        </w:rPr>
        <w:t>农民集体缴费外，不可办理其他业务，不统计为待归集地参保人数。</w:t>
      </w:r>
    </w:p>
    <w:p w14:paraId="431739F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第五十六条  </w:t>
      </w:r>
      <w:r>
        <w:rPr>
          <w:rFonts w:hint="eastAsia"/>
          <w:color w:val="auto"/>
          <w:highlight w:val="none"/>
        </w:rPr>
        <w:t>县社保机构应当及时将待归集账户信息通过信息共享平台推送至税务部门，税务部门根据共享数据进行待归集账户缴费管理工作。</w:t>
      </w:r>
    </w:p>
    <w:p w14:paraId="1880D55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个人账户归集业务由归集</w:t>
      </w:r>
      <w:r>
        <w:rPr>
          <w:color w:val="auto"/>
          <w:highlight w:val="none"/>
        </w:rPr>
        <w:t>地</w:t>
      </w:r>
      <w:r>
        <w:rPr>
          <w:rFonts w:hint="eastAsia"/>
          <w:color w:val="auto"/>
          <w:highlight w:val="none"/>
        </w:rPr>
        <w:t>和待归集地县社保机构协同办理，无需参保人员本人办理。</w:t>
      </w:r>
    </w:p>
    <w:p w14:paraId="0893FB5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归集地社保机构应当每月查询需办理个人账户归集业务的参保人员，于当月通过信息系统向待归集地社保机构发出《居民基本养老保险</w:t>
      </w:r>
      <w:r>
        <w:rPr>
          <w:rFonts w:hint="eastAsia"/>
          <w:color w:val="auto"/>
          <w:highlight w:val="none"/>
          <w:lang w:eastAsia="zh-CN"/>
        </w:rPr>
        <w:t>个人</w:t>
      </w:r>
      <w:r>
        <w:rPr>
          <w:rFonts w:hint="eastAsia"/>
          <w:color w:val="auto"/>
          <w:highlight w:val="none"/>
        </w:rPr>
        <w:t>账户归集信息表》（以下简称《归集信息表》，附件15）。</w:t>
      </w:r>
    </w:p>
    <w:p w14:paraId="3C8F251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待归集地社保机构收到归集信息后5个工作日内，对参保人员个人账户进行结息处</w:t>
      </w:r>
      <w:r>
        <w:rPr>
          <w:rFonts w:hint="eastAsia"/>
          <w:color w:val="auto"/>
          <w:spacing w:val="-8"/>
          <w:sz w:val="32"/>
          <w:highlight w:val="none"/>
        </w:rPr>
        <w:t>理（计息至上一年度12月31日），整理相关信息，通过信息系</w:t>
      </w:r>
      <w:r>
        <w:rPr>
          <w:rFonts w:hint="eastAsia"/>
          <w:color w:val="auto"/>
          <w:highlight w:val="none"/>
        </w:rPr>
        <w:t>统将《归集信息表》反馈至归集地社保机构。</w:t>
      </w:r>
    </w:p>
    <w:p w14:paraId="1085376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待归集地社保机构自发送《归集信息表》之日起5个工作日内通过“社银直连”的方式将归集资金一次性划拨至归集地社保机构指定的银行账户，结清待归集人员在本地的居民养老保险个人账户，并按照规定保留原有记录备查。</w:t>
      </w:r>
    </w:p>
    <w:p w14:paraId="5E99775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归集地社保机构通过信息系统及时下载《归集信息表》，确认到账的归集金额与信息表记录一致后，及时进行实收处理，通过信息系统向待归集地社保机构反馈办结信息，将归集信息记入信息系统，准确记录个人账户，并从归集当年的1月1日起开始计息。</w:t>
      </w:r>
    </w:p>
    <w:p w14:paraId="69A149E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存在多条待归集信息的，归集地社保机构应</w:t>
      </w:r>
      <w:r>
        <w:rPr>
          <w:rFonts w:hint="eastAsia"/>
          <w:color w:val="auto"/>
          <w:highlight w:val="none"/>
          <w:lang w:val="en-US" w:eastAsia="zh-CN"/>
        </w:rPr>
        <w:t>当</w:t>
      </w:r>
      <w:r>
        <w:rPr>
          <w:rFonts w:hint="eastAsia"/>
          <w:color w:val="auto"/>
          <w:highlight w:val="none"/>
        </w:rPr>
        <w:t>分别向不同社保机构发出归集申请</w:t>
      </w:r>
      <w:r>
        <w:rPr>
          <w:rFonts w:hint="eastAsia"/>
          <w:color w:val="auto"/>
          <w:highlight w:val="none"/>
          <w:lang w:val="en-US" w:eastAsia="zh-CN"/>
        </w:rPr>
        <w:t>并</w:t>
      </w:r>
      <w:r>
        <w:rPr>
          <w:rFonts w:hint="eastAsia"/>
          <w:color w:val="auto"/>
          <w:highlight w:val="none"/>
        </w:rPr>
        <w:t>按以上程序办理。</w:t>
      </w:r>
    </w:p>
    <w:p w14:paraId="510296D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存在重复缴费需办理退费的，按照先归</w:t>
      </w:r>
      <w:r>
        <w:rPr>
          <w:rFonts w:hint="eastAsia"/>
          <w:color w:val="auto"/>
          <w:highlight w:val="none"/>
          <w:lang w:val="en-US" w:eastAsia="zh-CN"/>
        </w:rPr>
        <w:t>集</w:t>
      </w:r>
      <w:r>
        <w:rPr>
          <w:rFonts w:hint="eastAsia"/>
          <w:color w:val="auto"/>
          <w:highlight w:val="none"/>
        </w:rPr>
        <w:t>后</w:t>
      </w:r>
      <w:r>
        <w:rPr>
          <w:rFonts w:hint="eastAsia"/>
          <w:color w:val="auto"/>
          <w:highlight w:val="none"/>
          <w:lang w:val="en-US" w:eastAsia="zh-CN"/>
        </w:rPr>
        <w:t>清</w:t>
      </w:r>
      <w:r>
        <w:rPr>
          <w:rFonts w:hint="eastAsia"/>
          <w:color w:val="auto"/>
          <w:highlight w:val="none"/>
        </w:rPr>
        <w:t>退的原则，由归集地办理。</w:t>
      </w:r>
    </w:p>
    <w:p w14:paraId="6843EBE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第五十七条  </w:t>
      </w:r>
      <w:r>
        <w:rPr>
          <w:rFonts w:hint="eastAsia"/>
          <w:color w:val="auto"/>
          <w:highlight w:val="none"/>
        </w:rPr>
        <w:t>归集完成后，待归集账户调整为已归集账户，除办理第五十</w:t>
      </w:r>
      <w:r>
        <w:rPr>
          <w:rFonts w:hint="eastAsia"/>
          <w:color w:val="auto"/>
          <w:highlight w:val="none"/>
          <w:lang w:val="en-US" w:eastAsia="zh-CN"/>
        </w:rPr>
        <w:t>五</w:t>
      </w:r>
      <w:r>
        <w:rPr>
          <w:rFonts w:hint="eastAsia"/>
          <w:color w:val="auto"/>
          <w:highlight w:val="none"/>
        </w:rPr>
        <w:t>条规定的业务外，该账户数据不再允许修改。</w:t>
      </w:r>
    </w:p>
    <w:p w14:paraId="78FC988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已归集账户办理第五十</w:t>
      </w:r>
      <w:r>
        <w:rPr>
          <w:rFonts w:hint="eastAsia"/>
          <w:color w:val="auto"/>
          <w:highlight w:val="none"/>
          <w:lang w:val="en-US" w:eastAsia="zh-CN"/>
        </w:rPr>
        <w:t>五</w:t>
      </w:r>
      <w:r>
        <w:rPr>
          <w:rFonts w:hint="eastAsia"/>
          <w:color w:val="auto"/>
          <w:highlight w:val="none"/>
        </w:rPr>
        <w:t>条规定的业务后，已归集地社保机构应当及时将相关信息推送至归集地社保机构，由归集地社保机构再次归集。</w:t>
      </w:r>
    </w:p>
    <w:p w14:paraId="40A5C84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第五十八条  </w:t>
      </w:r>
      <w:r>
        <w:rPr>
          <w:rFonts w:hint="eastAsia"/>
          <w:color w:val="auto"/>
          <w:highlight w:val="none"/>
        </w:rPr>
        <w:t>参保人员办理跨省关系转移接续、城乡养老保险跨制度衔接和注销登记等业务时，最后参保地县社保机构应</w:t>
      </w:r>
      <w:r>
        <w:rPr>
          <w:rFonts w:hint="eastAsia"/>
          <w:color w:val="auto"/>
          <w:highlight w:val="none"/>
          <w:lang w:val="en-US" w:eastAsia="zh-CN"/>
        </w:rPr>
        <w:t>当</w:t>
      </w:r>
      <w:r>
        <w:rPr>
          <w:rFonts w:hint="eastAsia"/>
          <w:color w:val="auto"/>
          <w:highlight w:val="none"/>
        </w:rPr>
        <w:t>先查询并完成账户归集后再行办理。</w:t>
      </w:r>
    </w:p>
    <w:p w14:paraId="1568999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center"/>
        <w:textAlignment w:val="auto"/>
        <w:rPr>
          <w:rFonts w:ascii="黑体" w:hAnsi="黑体" w:eastAsia="黑体" w:cs="黑体"/>
          <w:bCs/>
          <w:color w:val="auto"/>
          <w:highlight w:val="none"/>
        </w:rPr>
      </w:pPr>
    </w:p>
    <w:p w14:paraId="04EB295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Cs/>
          <w:color w:val="auto"/>
          <w:highlight w:val="none"/>
        </w:rPr>
      </w:pPr>
      <w:r>
        <w:rPr>
          <w:rFonts w:hint="eastAsia" w:ascii="黑体" w:hAnsi="黑体" w:eastAsia="黑体" w:cs="黑体"/>
          <w:bCs/>
          <w:color w:val="auto"/>
          <w:highlight w:val="none"/>
        </w:rPr>
        <w:br w:type="page"/>
      </w:r>
    </w:p>
    <w:p w14:paraId="5C33F8E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color w:val="auto"/>
          <w:highlight w:val="none"/>
        </w:rPr>
      </w:pPr>
      <w:r>
        <w:rPr>
          <w:rFonts w:hint="eastAsia" w:ascii="黑体" w:hAnsi="黑体" w:eastAsia="黑体" w:cs="黑体"/>
          <w:bCs/>
          <w:color w:val="auto"/>
          <w:highlight w:val="none"/>
        </w:rPr>
        <w:t>第九章  经办服务和管理</w:t>
      </w:r>
    </w:p>
    <w:p w14:paraId="73C6567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p>
    <w:p w14:paraId="35BA960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第五十九条  </w:t>
      </w:r>
      <w:r>
        <w:rPr>
          <w:rFonts w:hint="eastAsia"/>
          <w:color w:val="auto"/>
          <w:highlight w:val="none"/>
        </w:rPr>
        <w:t>社保机构应当依托国家社会保险公共服务平台实现跨部门、跨统筹地区经办居民养老保险业务。</w:t>
      </w:r>
    </w:p>
    <w:p w14:paraId="02A6AEBE">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黑体" w:hAnsi="黑体" w:eastAsia="黑体" w:cs="黑体"/>
          <w:color w:val="auto"/>
          <w:kern w:val="0"/>
          <w:szCs w:val="32"/>
          <w:highlight w:val="none"/>
        </w:rPr>
        <w:t xml:space="preserve">第六十条  </w:t>
      </w:r>
      <w:r>
        <w:rPr>
          <w:rFonts w:hint="eastAsia" w:ascii="仿宋_GB2312" w:hAnsi="仿宋_GB2312" w:eastAsia="仿宋_GB2312" w:cs="仿宋_GB2312"/>
          <w:color w:val="auto"/>
          <w:kern w:val="0"/>
          <w:szCs w:val="32"/>
          <w:highlight w:val="none"/>
        </w:rPr>
        <w:t>社保机构根据经办工作需求，委托符合条件的机构进行帮办代办的，应</w:t>
      </w:r>
      <w:r>
        <w:rPr>
          <w:rFonts w:hint="eastAsia" w:ascii="仿宋_GB2312" w:hAnsi="仿宋_GB2312" w:eastAsia="仿宋_GB2312" w:cs="仿宋_GB2312"/>
          <w:color w:val="auto"/>
          <w:kern w:val="0"/>
          <w:szCs w:val="32"/>
          <w:highlight w:val="none"/>
          <w:lang w:val="en-US" w:eastAsia="zh-CN"/>
        </w:rPr>
        <w:t>当</w:t>
      </w:r>
      <w:r>
        <w:rPr>
          <w:rFonts w:hint="eastAsia" w:ascii="仿宋_GB2312" w:hAnsi="仿宋_GB2312" w:eastAsia="仿宋_GB2312" w:cs="仿宋_GB2312"/>
          <w:color w:val="auto"/>
          <w:kern w:val="0"/>
          <w:szCs w:val="32"/>
          <w:highlight w:val="none"/>
        </w:rPr>
        <w:t>签订委托服务协议，明确委托服务内容以及双方的责任和义务，细化数据核对、定期对账、风险防控等内容，规范帮办代办服务行为。</w:t>
      </w:r>
    </w:p>
    <w:p w14:paraId="35721E1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第六十一条  </w:t>
      </w:r>
      <w:r>
        <w:rPr>
          <w:rFonts w:hint="eastAsia"/>
          <w:color w:val="auto"/>
          <w:highlight w:val="none"/>
        </w:rPr>
        <w:t>社保机构和税务部门应当加强无障碍环境建设，提供无障碍信息交流，完善无障碍服务设施设备，采用授权代办、上门服务等方式，为老年人、残疾人等特殊群体提供便利。</w:t>
      </w:r>
    </w:p>
    <w:p w14:paraId="69B3831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第六十二条 </w:t>
      </w:r>
      <w:r>
        <w:rPr>
          <w:rFonts w:hint="eastAsia"/>
          <w:color w:val="auto"/>
          <w:highlight w:val="none"/>
        </w:rPr>
        <w:t xml:space="preserve"> </w:t>
      </w:r>
      <w:r>
        <w:rPr>
          <w:color w:val="auto"/>
          <w:highlight w:val="none"/>
        </w:rPr>
        <w:t>社保机构</w:t>
      </w:r>
      <w:r>
        <w:rPr>
          <w:rFonts w:hint="eastAsia"/>
          <w:color w:val="auto"/>
          <w:highlight w:val="none"/>
        </w:rPr>
        <w:t>和税务部门应当按职责分工加</w:t>
      </w:r>
      <w:r>
        <w:rPr>
          <w:color w:val="auto"/>
          <w:highlight w:val="none"/>
        </w:rPr>
        <w:t>强信息系统应用管理，健全信息核验机制，及时、完整、准确记录下列信息：</w:t>
      </w:r>
    </w:p>
    <w:p w14:paraId="4950F28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r>
        <w:rPr>
          <w:color w:val="auto"/>
          <w:highlight w:val="none"/>
        </w:rPr>
        <w:t>（一）社会保险登记情况；</w:t>
      </w:r>
    </w:p>
    <w:p w14:paraId="37ECAE0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r>
        <w:rPr>
          <w:color w:val="auto"/>
          <w:highlight w:val="none"/>
        </w:rPr>
        <w:t>（二）社会保险费缴纳情况；</w:t>
      </w:r>
    </w:p>
    <w:p w14:paraId="3A199B3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r>
        <w:rPr>
          <w:color w:val="auto"/>
          <w:highlight w:val="none"/>
        </w:rPr>
        <w:t>（三）社会保险待遇享受情况；</w:t>
      </w:r>
    </w:p>
    <w:p w14:paraId="3C8D056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r>
        <w:rPr>
          <w:color w:val="auto"/>
          <w:highlight w:val="none"/>
        </w:rPr>
        <w:t>（四）个人账户情况；</w:t>
      </w:r>
    </w:p>
    <w:p w14:paraId="370B406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r>
        <w:rPr>
          <w:color w:val="auto"/>
          <w:highlight w:val="none"/>
        </w:rPr>
        <w:t>（五）与社会保险经办相关的其他情况。</w:t>
      </w:r>
    </w:p>
    <w:p w14:paraId="2D58801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第六十三条 </w:t>
      </w:r>
      <w:r>
        <w:rPr>
          <w:rFonts w:hint="eastAsia"/>
          <w:color w:val="auto"/>
          <w:highlight w:val="none"/>
        </w:rPr>
        <w:t xml:space="preserve"> 各级社保机构、信息</w:t>
      </w:r>
      <w:r>
        <w:rPr>
          <w:color w:val="auto"/>
          <w:highlight w:val="none"/>
        </w:rPr>
        <w:t>化综合管理机构</w:t>
      </w:r>
      <w:r>
        <w:rPr>
          <w:rFonts w:hint="eastAsia"/>
          <w:color w:val="auto"/>
          <w:highlight w:val="none"/>
        </w:rPr>
        <w:t>、税务部门</w:t>
      </w:r>
      <w:r>
        <w:rPr>
          <w:color w:val="auto"/>
          <w:highlight w:val="none"/>
        </w:rPr>
        <w:t>工作人员应</w:t>
      </w:r>
      <w:r>
        <w:rPr>
          <w:rFonts w:hint="eastAsia"/>
          <w:color w:val="auto"/>
          <w:highlight w:val="none"/>
          <w:lang w:val="en-US" w:eastAsia="zh-CN"/>
        </w:rPr>
        <w:t>当</w:t>
      </w:r>
      <w:r>
        <w:rPr>
          <w:rFonts w:hint="eastAsia"/>
          <w:color w:val="auto"/>
          <w:highlight w:val="none"/>
        </w:rPr>
        <w:t>妥善保管经办信息，确保信息完整、准确和安全。</w:t>
      </w:r>
      <w:r>
        <w:rPr>
          <w:color w:val="auto"/>
          <w:highlight w:val="none"/>
        </w:rPr>
        <w:t>严格遵守保密规定，</w:t>
      </w:r>
      <w:r>
        <w:rPr>
          <w:rFonts w:hint="eastAsia"/>
          <w:color w:val="auto"/>
          <w:highlight w:val="none"/>
        </w:rPr>
        <w:t>对</w:t>
      </w:r>
      <w:r>
        <w:rPr>
          <w:color w:val="auto"/>
          <w:highlight w:val="none"/>
        </w:rPr>
        <w:t>在工作中获</w:t>
      </w:r>
      <w:r>
        <w:rPr>
          <w:rFonts w:hint="eastAsia"/>
          <w:color w:val="auto"/>
          <w:highlight w:val="none"/>
        </w:rPr>
        <w:t>取</w:t>
      </w:r>
      <w:r>
        <w:rPr>
          <w:color w:val="auto"/>
          <w:highlight w:val="none"/>
        </w:rPr>
        <w:t>的信息承担保密责任，不得</w:t>
      </w:r>
      <w:r>
        <w:rPr>
          <w:rFonts w:hint="eastAsia"/>
          <w:color w:val="auto"/>
          <w:highlight w:val="none"/>
        </w:rPr>
        <w:t>违法</w:t>
      </w:r>
      <w:r>
        <w:rPr>
          <w:color w:val="auto"/>
          <w:highlight w:val="none"/>
        </w:rPr>
        <w:t>向他人透露。</w:t>
      </w:r>
    </w:p>
    <w:p w14:paraId="6C7FDCF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第六十四条  </w:t>
      </w:r>
      <w:r>
        <w:rPr>
          <w:rFonts w:hint="eastAsia"/>
          <w:color w:val="auto"/>
          <w:highlight w:val="none"/>
        </w:rPr>
        <w:t>乡镇（街道）服务中心、符合条件的机构和村（居）协办员中负责办理及协助开展居民养老保险业务的人员，应当经市、县社保机构备案并定期组织业务培训，不断提高工作人员服务质量和经办水平。</w:t>
      </w:r>
    </w:p>
    <w:p w14:paraId="061A064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第六十五条 </w:t>
      </w:r>
      <w:r>
        <w:rPr>
          <w:rFonts w:hint="eastAsia"/>
          <w:color w:val="auto"/>
          <w:highlight w:val="none"/>
        </w:rPr>
        <w:t xml:space="preserve"> 市、县（市、区）人民政府承担确保居民养老保险待遇按时足额发放的主体责任。当出现不能按时足额发放风险时，各级社保机构应当及时将事情概况、发生原因、解决建议向同级人力资源社会保障行政部门和上级社保机构汇报。</w:t>
      </w:r>
    </w:p>
    <w:p w14:paraId="6F27F98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color w:val="auto"/>
          <w:highlight w:val="none"/>
        </w:rPr>
      </w:pPr>
      <w:r>
        <w:rPr>
          <w:rFonts w:hint="eastAsia" w:ascii="黑体" w:hAnsi="黑体" w:eastAsia="黑体" w:cs="黑体"/>
          <w:color w:val="auto"/>
          <w:highlight w:val="none"/>
        </w:rPr>
        <w:t xml:space="preserve">第六十六条 </w:t>
      </w:r>
      <w:r>
        <w:rPr>
          <w:rFonts w:hint="eastAsia"/>
          <w:color w:val="auto"/>
          <w:highlight w:val="none"/>
        </w:rPr>
        <w:t xml:space="preserve"> 各级社保机构要配合人</w:t>
      </w:r>
      <w:r>
        <w:rPr>
          <w:color w:val="auto"/>
          <w:highlight w:val="none"/>
        </w:rPr>
        <w:t>力资源社会保障</w:t>
      </w:r>
      <w:r>
        <w:rPr>
          <w:rFonts w:hint="eastAsia"/>
          <w:color w:val="auto"/>
          <w:highlight w:val="none"/>
        </w:rPr>
        <w:t>行政部门做好居民养老保险省级财政补助资金结算申报、审核工作，按照“谁提供、谁负责”</w:t>
      </w:r>
      <w:r>
        <w:rPr>
          <w:rFonts w:hint="eastAsia"/>
          <w:color w:val="auto"/>
          <w:highlight w:val="none"/>
          <w:lang w:val="en-US" w:eastAsia="zh-CN"/>
        </w:rPr>
        <w:t>的</w:t>
      </w:r>
      <w:r>
        <w:rPr>
          <w:rFonts w:hint="eastAsia"/>
          <w:color w:val="auto"/>
          <w:highlight w:val="none"/>
        </w:rPr>
        <w:t>原则，对居民养老保险省级补助资金</w:t>
      </w:r>
      <w:r>
        <w:rPr>
          <w:color w:val="auto"/>
          <w:highlight w:val="none"/>
        </w:rPr>
        <w:t>测</w:t>
      </w:r>
      <w:r>
        <w:rPr>
          <w:rFonts w:hint="eastAsia"/>
          <w:color w:val="auto"/>
          <w:highlight w:val="none"/>
        </w:rPr>
        <w:t>算所需数据及材料的真实性、准确性和完整性负责。</w:t>
      </w:r>
    </w:p>
    <w:p w14:paraId="78BAC97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color w:val="auto"/>
          <w:highlight w:val="none"/>
        </w:rPr>
      </w:pPr>
    </w:p>
    <w:p w14:paraId="065CBB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Cs w:val="32"/>
          <w:highlight w:val="none"/>
        </w:rPr>
      </w:pPr>
      <w:r>
        <w:rPr>
          <w:rFonts w:hint="eastAsia" w:ascii="黑体" w:hAnsi="黑体" w:eastAsia="黑体" w:cs="黑体"/>
          <w:bCs/>
          <w:color w:val="auto"/>
          <w:kern w:val="0"/>
          <w:szCs w:val="32"/>
          <w:highlight w:val="none"/>
        </w:rPr>
        <w:t>第</w:t>
      </w:r>
      <w:r>
        <w:rPr>
          <w:rFonts w:ascii="黑体" w:hAnsi="黑体" w:eastAsia="黑体" w:cs="黑体"/>
          <w:bCs/>
          <w:color w:val="auto"/>
          <w:kern w:val="0"/>
          <w:szCs w:val="32"/>
          <w:highlight w:val="none"/>
        </w:rPr>
        <w:t>十</w:t>
      </w:r>
      <w:r>
        <w:rPr>
          <w:rFonts w:hint="eastAsia" w:ascii="黑体" w:hAnsi="黑体" w:eastAsia="黑体" w:cs="黑体"/>
          <w:bCs/>
          <w:color w:val="auto"/>
          <w:kern w:val="0"/>
          <w:szCs w:val="32"/>
          <w:highlight w:val="none"/>
        </w:rPr>
        <w:t>章  基金管理</w:t>
      </w:r>
    </w:p>
    <w:p w14:paraId="4F582C33">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s="黑体"/>
          <w:color w:val="auto"/>
          <w:kern w:val="0"/>
          <w:szCs w:val="32"/>
          <w:highlight w:val="none"/>
        </w:rPr>
      </w:pPr>
    </w:p>
    <w:p w14:paraId="5F6EA05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第六十七条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严格执行《社会保险基金财务制度》和《社会保险基金会计制度》，与税务、财政等部门共同加强居民养老保险基金管理。</w:t>
      </w:r>
    </w:p>
    <w:p w14:paraId="3FA01F5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第六十八条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内设财务管理部门或相应专业工作岗位，配备专职会计和出纳。财务部门每月应</w:t>
      </w:r>
      <w:r>
        <w:rPr>
          <w:rFonts w:hint="eastAsia"/>
          <w:color w:val="auto"/>
          <w:highlight w:val="none"/>
          <w:lang w:val="en-US" w:eastAsia="zh-CN"/>
        </w:rPr>
        <w:t>当</w:t>
      </w:r>
      <w:r>
        <w:rPr>
          <w:rFonts w:hint="eastAsia"/>
          <w:color w:val="auto"/>
          <w:highlight w:val="none"/>
        </w:rPr>
        <w:t>与业务、财政、税务、银行等部门进行对账，认真核对总账和明细账，做到账证相符、账账相符、账实相符。业务部门要协同做好与税务部门、协议金融机构的对账工作。</w:t>
      </w:r>
    </w:p>
    <w:p w14:paraId="004712D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color w:val="auto"/>
          <w:highlight w:val="none"/>
        </w:rPr>
      </w:pPr>
      <w:r>
        <w:rPr>
          <w:rFonts w:hint="eastAsia" w:ascii="黑体" w:hAnsi="黑体" w:eastAsia="黑体" w:cs="黑体"/>
          <w:color w:val="auto"/>
          <w:highlight w:val="none"/>
        </w:rPr>
        <w:t xml:space="preserve">第六十九条 </w:t>
      </w:r>
      <w:r>
        <w:rPr>
          <w:rFonts w:hint="eastAsia"/>
          <w:color w:val="auto"/>
          <w:highlight w:val="none"/>
        </w:rPr>
        <w:t xml:space="preserve"> 居民养老保险基金单独记账，独立核算，基金纳入社会保障基金财政专户，专款专用，任何单位和个人不得挤占、挪用，基金结余按国家有关规定实现保值增值。</w:t>
      </w:r>
    </w:p>
    <w:p w14:paraId="1E91203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第七十条 </w:t>
      </w:r>
      <w:r>
        <w:rPr>
          <w:rFonts w:hint="eastAsia"/>
          <w:color w:val="auto"/>
          <w:highlight w:val="none"/>
        </w:rPr>
        <w:t xml:space="preserve"> 居民养老保险基金收入户、支出户、财政专户应</w:t>
      </w:r>
      <w:r>
        <w:rPr>
          <w:rFonts w:hint="eastAsia"/>
          <w:color w:val="auto"/>
          <w:highlight w:val="none"/>
          <w:lang w:val="en-US" w:eastAsia="zh-CN"/>
        </w:rPr>
        <w:t>当</w:t>
      </w:r>
      <w:r>
        <w:rPr>
          <w:rFonts w:hint="eastAsia"/>
          <w:color w:val="auto"/>
          <w:highlight w:val="none"/>
        </w:rPr>
        <w:t>按规定合理开设。收入户用于归集居民养老保险基金，暂存该账户的利息收入及其他收入，除向财政专户划转基金、向上级社保机构缴拨基金、原渠道退回保险费收入外，不得发生其他支付业务，原则上月末无余额。</w:t>
      </w:r>
    </w:p>
    <w:p w14:paraId="1CE7CA7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支出户用于接受财政专户拨入基金、支付基金支出款项、上解上级社保机构基金、下拨下级社保机构基金等。支出户应</w:t>
      </w:r>
      <w:r>
        <w:rPr>
          <w:rFonts w:hint="eastAsia"/>
          <w:color w:val="auto"/>
          <w:highlight w:val="none"/>
          <w:lang w:val="en-US" w:eastAsia="zh-CN"/>
        </w:rPr>
        <w:t>当</w:t>
      </w:r>
      <w:r>
        <w:rPr>
          <w:rFonts w:hint="eastAsia"/>
          <w:color w:val="auto"/>
          <w:highlight w:val="none"/>
        </w:rPr>
        <w:t>预留1到2个月的周转资金，确保居民养老保险待遇按时足额发放。</w:t>
      </w:r>
    </w:p>
    <w:p w14:paraId="48415B3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b/>
          <w:color w:val="auto"/>
          <w:highlight w:val="none"/>
        </w:rPr>
      </w:pPr>
      <w:r>
        <w:rPr>
          <w:rFonts w:hint="eastAsia" w:ascii="黑体" w:hAnsi="黑体" w:eastAsia="黑体" w:cs="黑体"/>
          <w:color w:val="auto"/>
          <w:highlight w:val="none"/>
        </w:rPr>
        <w:t xml:space="preserve">第七十一条 </w:t>
      </w:r>
      <w:r>
        <w:rPr>
          <w:rFonts w:hint="eastAsia"/>
          <w:color w:val="auto"/>
          <w:highlight w:val="none"/>
        </w:rPr>
        <w:t xml:space="preserve"> 社保机构</w:t>
      </w:r>
      <w:r>
        <w:rPr>
          <w:rFonts w:hint="eastAsia"/>
          <w:color w:val="auto"/>
          <w:highlight w:val="none"/>
          <w:lang w:val="en-US" w:eastAsia="zh-CN"/>
        </w:rPr>
        <w:t>应当严格</w:t>
      </w:r>
      <w:r>
        <w:rPr>
          <w:rFonts w:hint="eastAsia"/>
          <w:color w:val="auto"/>
          <w:highlight w:val="none"/>
        </w:rPr>
        <w:t>落实居民养老保险资金预算绩效管理要求，定期对政策执行、基金管理等进行科学评估，切实提高财政补助资金使用效能。</w:t>
      </w:r>
    </w:p>
    <w:p w14:paraId="255D14B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第七十二条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根据上年度居民养老保险缴费人数、缴费档次及其补贴标准，基础养老金发放人次</w:t>
      </w:r>
      <w:r>
        <w:rPr>
          <w:rFonts w:hint="eastAsia"/>
          <w:color w:val="auto"/>
          <w:highlight w:val="none"/>
          <w:lang w:eastAsia="zh-CN"/>
        </w:rPr>
        <w:t>数</w:t>
      </w:r>
      <w:r>
        <w:rPr>
          <w:rFonts w:hint="eastAsia"/>
          <w:color w:val="auto"/>
          <w:highlight w:val="none"/>
        </w:rPr>
        <w:t>及其标准，困难群体代缴人数及其标准</w:t>
      </w:r>
      <w:r>
        <w:rPr>
          <w:rFonts w:hint="eastAsia"/>
          <w:color w:val="auto"/>
          <w:highlight w:val="none"/>
          <w:lang w:eastAsia="zh-CN"/>
        </w:rPr>
        <w:t>，</w:t>
      </w:r>
      <w:r>
        <w:rPr>
          <w:rFonts w:hint="eastAsia"/>
          <w:color w:val="auto"/>
          <w:highlight w:val="none"/>
        </w:rPr>
        <w:t>丧葬补助金支付人数及其标准等情况，向同级财政部门提出上年度补助资金清算和本年度补助资金拨付申请。</w:t>
      </w:r>
    </w:p>
    <w:p w14:paraId="7A6F653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第七十三条 </w:t>
      </w:r>
      <w:r>
        <w:rPr>
          <w:rFonts w:hint="eastAsia"/>
          <w:color w:val="auto"/>
          <w:highlight w:val="none"/>
        </w:rPr>
        <w:t xml:space="preserve"> 社保机构应当会同同级财政部门，按照中央、省和地方有关规定结算和申请财政补助资金。</w:t>
      </w:r>
    </w:p>
    <w:p w14:paraId="37FF38A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第七十四条 </w:t>
      </w:r>
      <w:r>
        <w:rPr>
          <w:rFonts w:hint="eastAsia"/>
          <w:color w:val="auto"/>
          <w:highlight w:val="none"/>
        </w:rPr>
        <w:t xml:space="preserve"> 年度终了前，社保机构应</w:t>
      </w:r>
      <w:r>
        <w:rPr>
          <w:rFonts w:hint="eastAsia"/>
          <w:color w:val="auto"/>
          <w:highlight w:val="none"/>
          <w:lang w:val="en-US" w:eastAsia="zh-CN"/>
        </w:rPr>
        <w:t>当</w:t>
      </w:r>
      <w:r>
        <w:rPr>
          <w:rFonts w:hint="eastAsia"/>
          <w:color w:val="auto"/>
          <w:highlight w:val="none"/>
        </w:rPr>
        <w:t>按照规定的表式、时间和编制要求，综合考虑本年预算执行情况、下一年度经济社会发展水平以及社会保险工作计划等因素，编制下一年度居民养老保险基金预算草案，其中基金收入预算草案应</w:t>
      </w:r>
      <w:r>
        <w:rPr>
          <w:rFonts w:hint="eastAsia"/>
          <w:color w:val="auto"/>
          <w:highlight w:val="none"/>
          <w:lang w:val="en-US" w:eastAsia="zh-CN"/>
        </w:rPr>
        <w:t>当</w:t>
      </w:r>
      <w:r>
        <w:rPr>
          <w:rFonts w:hint="eastAsia"/>
          <w:color w:val="auto"/>
          <w:highlight w:val="none"/>
        </w:rPr>
        <w:t>会同税</w:t>
      </w:r>
      <w:r>
        <w:rPr>
          <w:color w:val="auto"/>
          <w:highlight w:val="none"/>
        </w:rPr>
        <w:t>务部门</w:t>
      </w:r>
      <w:r>
        <w:rPr>
          <w:rFonts w:hint="eastAsia"/>
          <w:color w:val="auto"/>
          <w:highlight w:val="none"/>
        </w:rPr>
        <w:t>具体编制，</w:t>
      </w:r>
      <w:r>
        <w:rPr>
          <w:rFonts w:hint="eastAsia"/>
          <w:color w:val="auto"/>
          <w:highlight w:val="none"/>
          <w:lang w:val="en-US" w:eastAsia="zh-CN"/>
        </w:rPr>
        <w:t>经</w:t>
      </w:r>
      <w:r>
        <w:rPr>
          <w:rFonts w:hint="eastAsia"/>
          <w:color w:val="auto"/>
          <w:highlight w:val="none"/>
        </w:rPr>
        <w:t>同级财政、人</w:t>
      </w:r>
      <w:r>
        <w:rPr>
          <w:color w:val="auto"/>
          <w:highlight w:val="none"/>
        </w:rPr>
        <w:t>力资源社会保障</w:t>
      </w:r>
      <w:r>
        <w:rPr>
          <w:rFonts w:hint="eastAsia"/>
          <w:color w:val="auto"/>
          <w:highlight w:val="none"/>
        </w:rPr>
        <w:t>、税务部门审核后，报上级财政、人力资源社会保障、税务部门。</w:t>
      </w:r>
    </w:p>
    <w:p w14:paraId="3926BCA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社保机构应</w:t>
      </w:r>
      <w:r>
        <w:rPr>
          <w:rFonts w:hint="eastAsia"/>
          <w:color w:val="auto"/>
          <w:highlight w:val="none"/>
          <w:lang w:val="en-US" w:eastAsia="zh-CN"/>
        </w:rPr>
        <w:t>当</w:t>
      </w:r>
      <w:r>
        <w:rPr>
          <w:rFonts w:hint="eastAsia"/>
          <w:color w:val="auto"/>
          <w:highlight w:val="none"/>
        </w:rPr>
        <w:t>严格按照批复预算执行，定期向同级财政部门和人</w:t>
      </w:r>
      <w:r>
        <w:rPr>
          <w:color w:val="auto"/>
          <w:highlight w:val="none"/>
        </w:rPr>
        <w:t>力资源社会保障</w:t>
      </w:r>
      <w:r>
        <w:rPr>
          <w:rFonts w:hint="eastAsia"/>
          <w:color w:val="auto"/>
          <w:highlight w:val="none"/>
        </w:rPr>
        <w:t>行政部门报告预算执行情况，并主动接受监督。</w:t>
      </w:r>
    </w:p>
    <w:p w14:paraId="52ABDF0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第七十五条 </w:t>
      </w:r>
      <w:r>
        <w:rPr>
          <w:rFonts w:hint="eastAsia"/>
          <w:color w:val="auto"/>
          <w:highlight w:val="none"/>
        </w:rPr>
        <w:t xml:space="preserve"> 年度终了，社保机构应</w:t>
      </w:r>
      <w:r>
        <w:rPr>
          <w:rFonts w:hint="eastAsia"/>
          <w:color w:val="auto"/>
          <w:highlight w:val="none"/>
          <w:lang w:val="en-US" w:eastAsia="zh-CN"/>
        </w:rPr>
        <w:t>当</w:t>
      </w:r>
      <w:r>
        <w:rPr>
          <w:rFonts w:hint="eastAsia"/>
          <w:color w:val="auto"/>
          <w:highlight w:val="none"/>
        </w:rPr>
        <w:t>按照规定编制年度社会保险基金决算草案，其中基金收入决算草案应</w:t>
      </w:r>
      <w:r>
        <w:rPr>
          <w:rFonts w:hint="eastAsia"/>
          <w:color w:val="auto"/>
          <w:highlight w:val="none"/>
          <w:lang w:val="en-US" w:eastAsia="zh-CN"/>
        </w:rPr>
        <w:t>当</w:t>
      </w:r>
      <w:r>
        <w:rPr>
          <w:rFonts w:hint="eastAsia"/>
          <w:color w:val="auto"/>
          <w:highlight w:val="none"/>
        </w:rPr>
        <w:t>会同税务部门编制，经同级财政、人力资源社会保障、税务部门审核后，报上级财政、人力资源社会保障、税务部门。</w:t>
      </w:r>
    </w:p>
    <w:p w14:paraId="516C0A0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第七十六条 </w:t>
      </w:r>
      <w:r>
        <w:rPr>
          <w:rFonts w:hint="eastAsia"/>
          <w:color w:val="auto"/>
          <w:highlight w:val="none"/>
        </w:rPr>
        <w:t xml:space="preserve"> 各类代发资金与居民养老保险基金要分别记账、分账核算，专款专用，不得纳入社保基金会计核算范围，严禁将代发资金和居民养老保险基金混用，相互间不得挤占挪用。</w:t>
      </w:r>
    </w:p>
    <w:p w14:paraId="4B0E7AA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p>
    <w:p w14:paraId="035C73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kern w:val="0"/>
          <w:szCs w:val="32"/>
          <w:highlight w:val="none"/>
        </w:rPr>
      </w:pPr>
      <w:r>
        <w:rPr>
          <w:rFonts w:hint="eastAsia" w:ascii="黑体" w:hAnsi="黑体" w:eastAsia="黑体" w:cs="黑体"/>
          <w:bCs/>
          <w:color w:val="auto"/>
          <w:kern w:val="0"/>
          <w:szCs w:val="32"/>
          <w:highlight w:val="none"/>
        </w:rPr>
        <w:t>第十</w:t>
      </w:r>
      <w:r>
        <w:rPr>
          <w:rFonts w:ascii="黑体" w:hAnsi="黑体" w:eastAsia="黑体" w:cs="黑体"/>
          <w:bCs/>
          <w:color w:val="auto"/>
          <w:kern w:val="0"/>
          <w:szCs w:val="32"/>
          <w:highlight w:val="none"/>
        </w:rPr>
        <w:t>一</w:t>
      </w:r>
      <w:r>
        <w:rPr>
          <w:rFonts w:hint="eastAsia" w:ascii="黑体" w:hAnsi="黑体" w:eastAsia="黑体" w:cs="黑体"/>
          <w:bCs/>
          <w:color w:val="auto"/>
          <w:kern w:val="0"/>
          <w:szCs w:val="32"/>
          <w:highlight w:val="none"/>
        </w:rPr>
        <w:t>章  信息系统建设与统计管理</w:t>
      </w:r>
    </w:p>
    <w:p w14:paraId="37E8E44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p>
    <w:p w14:paraId="3182CA5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第七十七条 </w:t>
      </w:r>
      <w:r>
        <w:rPr>
          <w:rFonts w:hint="eastAsia"/>
          <w:color w:val="auto"/>
          <w:highlight w:val="none"/>
        </w:rPr>
        <w:t xml:space="preserve"> 社保机构应当加强信息系统应用管理，健全信息核验机制，记录业务经办过程。</w:t>
      </w:r>
    </w:p>
    <w:p w14:paraId="358BC26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第七十八条 </w:t>
      </w:r>
      <w:r>
        <w:rPr>
          <w:rFonts w:hint="eastAsia"/>
          <w:color w:val="auto"/>
          <w:highlight w:val="none"/>
        </w:rPr>
        <w:t xml:space="preserve"> 省社保机构和信息</w:t>
      </w:r>
      <w:r>
        <w:rPr>
          <w:color w:val="auto"/>
          <w:highlight w:val="none"/>
        </w:rPr>
        <w:t>化综合管理机构</w:t>
      </w:r>
      <w:r>
        <w:rPr>
          <w:rFonts w:hint="eastAsia"/>
          <w:color w:val="auto"/>
          <w:highlight w:val="none"/>
        </w:rPr>
        <w:t>负责全省居民养老保险信息系统的建设实施、运行维护和数据安全管理；开展数据分析运用；负责全省统一经办流程的设置和优化；负责</w:t>
      </w:r>
      <w:r>
        <w:rPr>
          <w:color w:val="auto"/>
          <w:highlight w:val="none"/>
        </w:rPr>
        <w:t>全省需求</w:t>
      </w:r>
      <w:r>
        <w:rPr>
          <w:rFonts w:hint="eastAsia"/>
          <w:color w:val="auto"/>
          <w:highlight w:val="none"/>
        </w:rPr>
        <w:t>提</w:t>
      </w:r>
      <w:r>
        <w:rPr>
          <w:color w:val="auto"/>
          <w:highlight w:val="none"/>
        </w:rPr>
        <w:t>报平台</w:t>
      </w:r>
      <w:r>
        <w:rPr>
          <w:rFonts w:hint="eastAsia"/>
          <w:color w:val="auto"/>
          <w:highlight w:val="none"/>
        </w:rPr>
        <w:t>的</w:t>
      </w:r>
      <w:r>
        <w:rPr>
          <w:color w:val="auto"/>
          <w:highlight w:val="none"/>
        </w:rPr>
        <w:t>建设和维护</w:t>
      </w:r>
      <w:r>
        <w:rPr>
          <w:rFonts w:hint="eastAsia"/>
          <w:color w:val="auto"/>
          <w:highlight w:val="none"/>
        </w:rPr>
        <w:t>，</w:t>
      </w:r>
      <w:r>
        <w:rPr>
          <w:color w:val="auto"/>
          <w:highlight w:val="none"/>
        </w:rPr>
        <w:t>统筹和确定全省业务需求</w:t>
      </w:r>
      <w:r>
        <w:rPr>
          <w:rFonts w:hint="eastAsia"/>
          <w:color w:val="auto"/>
          <w:highlight w:val="none"/>
        </w:rPr>
        <w:t>等工作。省</w:t>
      </w:r>
      <w:r>
        <w:rPr>
          <w:color w:val="auto"/>
          <w:highlight w:val="none"/>
        </w:rPr>
        <w:t>社保机构与税务部门共同制定数据交互需求的数据标准和技术</w:t>
      </w:r>
      <w:r>
        <w:rPr>
          <w:rFonts w:hint="eastAsia"/>
          <w:color w:val="auto"/>
          <w:highlight w:val="none"/>
        </w:rPr>
        <w:t>规范</w:t>
      </w:r>
      <w:r>
        <w:rPr>
          <w:color w:val="auto"/>
          <w:highlight w:val="none"/>
        </w:rPr>
        <w:t>，集中交互数据，</w:t>
      </w:r>
      <w:r>
        <w:rPr>
          <w:rFonts w:hint="eastAsia"/>
          <w:color w:val="auto"/>
          <w:highlight w:val="none"/>
        </w:rPr>
        <w:t>并</w:t>
      </w:r>
      <w:r>
        <w:rPr>
          <w:color w:val="auto"/>
          <w:highlight w:val="none"/>
        </w:rPr>
        <w:t>进行数据质量管理</w:t>
      </w:r>
      <w:r>
        <w:rPr>
          <w:rFonts w:hint="eastAsia"/>
          <w:color w:val="auto"/>
          <w:highlight w:val="none"/>
        </w:rPr>
        <w:t>、交换</w:t>
      </w:r>
      <w:r>
        <w:rPr>
          <w:color w:val="auto"/>
          <w:highlight w:val="none"/>
        </w:rPr>
        <w:t>过程监督，保障参保登记信息的唯一</w:t>
      </w:r>
      <w:r>
        <w:rPr>
          <w:rFonts w:hint="eastAsia"/>
          <w:color w:val="auto"/>
          <w:highlight w:val="none"/>
        </w:rPr>
        <w:t>性</w:t>
      </w:r>
      <w:r>
        <w:rPr>
          <w:color w:val="auto"/>
          <w:highlight w:val="none"/>
        </w:rPr>
        <w:t>和有效性，保障数据交换的及时性、准确性</w:t>
      </w:r>
      <w:r>
        <w:rPr>
          <w:rFonts w:hint="eastAsia"/>
          <w:color w:val="auto"/>
          <w:highlight w:val="none"/>
        </w:rPr>
        <w:t>、</w:t>
      </w:r>
      <w:r>
        <w:rPr>
          <w:color w:val="auto"/>
          <w:highlight w:val="none"/>
        </w:rPr>
        <w:t>完整性。</w:t>
      </w:r>
    </w:p>
    <w:p w14:paraId="6F45C86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市、县社保机构和信息</w:t>
      </w:r>
      <w:r>
        <w:rPr>
          <w:color w:val="auto"/>
          <w:highlight w:val="none"/>
        </w:rPr>
        <w:t>化综合管理机构</w:t>
      </w:r>
      <w:r>
        <w:rPr>
          <w:rFonts w:hint="eastAsia"/>
          <w:color w:val="auto"/>
          <w:highlight w:val="none"/>
        </w:rPr>
        <w:t>负责本区域内</w:t>
      </w:r>
      <w:r>
        <w:rPr>
          <w:rFonts w:hint="eastAsia"/>
          <w:color w:val="auto"/>
          <w:highlight w:val="none"/>
          <w:lang w:val="en-US" w:eastAsia="zh-CN"/>
        </w:rPr>
        <w:t>信息</w:t>
      </w:r>
      <w:r>
        <w:rPr>
          <w:rFonts w:hint="eastAsia"/>
          <w:color w:val="auto"/>
          <w:highlight w:val="none"/>
        </w:rPr>
        <w:t>系统应用、培训及运行环境保障；负责对外经办服务自助终端设备管理；根据</w:t>
      </w:r>
      <w:r>
        <w:rPr>
          <w:color w:val="auto"/>
          <w:highlight w:val="none"/>
        </w:rPr>
        <w:t>实际业务需要提出业务功能需求</w:t>
      </w:r>
      <w:r>
        <w:rPr>
          <w:rFonts w:hint="eastAsia"/>
          <w:color w:val="auto"/>
          <w:highlight w:val="none"/>
        </w:rPr>
        <w:t>；统筹</w:t>
      </w:r>
      <w:r>
        <w:rPr>
          <w:color w:val="auto"/>
          <w:highlight w:val="none"/>
        </w:rPr>
        <w:t>业务需求</w:t>
      </w:r>
      <w:r>
        <w:rPr>
          <w:rFonts w:hint="eastAsia"/>
          <w:color w:val="auto"/>
          <w:highlight w:val="none"/>
        </w:rPr>
        <w:t>与政策规定</w:t>
      </w:r>
      <w:r>
        <w:rPr>
          <w:color w:val="auto"/>
          <w:highlight w:val="none"/>
        </w:rPr>
        <w:t>、</w:t>
      </w:r>
      <w:r>
        <w:rPr>
          <w:rFonts w:hint="eastAsia"/>
          <w:color w:val="auto"/>
          <w:highlight w:val="none"/>
        </w:rPr>
        <w:t>经办</w:t>
      </w:r>
      <w:r>
        <w:rPr>
          <w:color w:val="auto"/>
          <w:highlight w:val="none"/>
        </w:rPr>
        <w:t>流程</w:t>
      </w:r>
      <w:r>
        <w:rPr>
          <w:rFonts w:hint="eastAsia"/>
          <w:color w:val="auto"/>
          <w:highlight w:val="none"/>
        </w:rPr>
        <w:t>及</w:t>
      </w:r>
      <w:r>
        <w:rPr>
          <w:color w:val="auto"/>
          <w:highlight w:val="none"/>
        </w:rPr>
        <w:t>数据管理</w:t>
      </w:r>
      <w:r>
        <w:rPr>
          <w:rFonts w:hint="eastAsia"/>
          <w:color w:val="auto"/>
          <w:highlight w:val="none"/>
        </w:rPr>
        <w:t>等因素的关系</w:t>
      </w:r>
      <w:r>
        <w:rPr>
          <w:color w:val="auto"/>
          <w:highlight w:val="none"/>
        </w:rPr>
        <w:t>，</w:t>
      </w:r>
      <w:r>
        <w:rPr>
          <w:rFonts w:hint="eastAsia"/>
          <w:color w:val="auto"/>
          <w:highlight w:val="none"/>
        </w:rPr>
        <w:t>做</w:t>
      </w:r>
      <w:r>
        <w:rPr>
          <w:color w:val="auto"/>
          <w:highlight w:val="none"/>
        </w:rPr>
        <w:t>好本区域内业务经办需求</w:t>
      </w:r>
      <w:r>
        <w:rPr>
          <w:rFonts w:hint="eastAsia"/>
          <w:color w:val="auto"/>
          <w:highlight w:val="none"/>
        </w:rPr>
        <w:t>的</w:t>
      </w:r>
      <w:r>
        <w:rPr>
          <w:color w:val="auto"/>
          <w:highlight w:val="none"/>
        </w:rPr>
        <w:t>审核</w:t>
      </w:r>
      <w:r>
        <w:rPr>
          <w:rFonts w:hint="eastAsia"/>
          <w:color w:val="auto"/>
          <w:highlight w:val="none"/>
        </w:rPr>
        <w:t>工作。</w:t>
      </w:r>
    </w:p>
    <w:p w14:paraId="421EEAA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县社保机构、乡镇（街道）服务中心和村（居）协办员根据各自职责负责信息的采集、录入</w:t>
      </w:r>
      <w:r>
        <w:rPr>
          <w:rFonts w:hint="eastAsia"/>
          <w:color w:val="auto"/>
          <w:highlight w:val="none"/>
          <w:lang w:val="en-US" w:eastAsia="zh-CN"/>
        </w:rPr>
        <w:t>工作</w:t>
      </w:r>
      <w:r>
        <w:rPr>
          <w:rFonts w:hint="eastAsia"/>
          <w:color w:val="auto"/>
          <w:highlight w:val="none"/>
        </w:rPr>
        <w:t>。</w:t>
      </w:r>
    </w:p>
    <w:p w14:paraId="2799C37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第七十九条 </w:t>
      </w:r>
      <w:r>
        <w:rPr>
          <w:rFonts w:hint="eastAsia"/>
          <w:color w:val="auto"/>
          <w:highlight w:val="none"/>
        </w:rPr>
        <w:t xml:space="preserve"> 市级</w:t>
      </w:r>
      <w:r>
        <w:rPr>
          <w:rFonts w:hint="eastAsia"/>
          <w:color w:val="auto"/>
          <w:highlight w:val="none"/>
          <w:lang w:val="en-US" w:eastAsia="zh-CN"/>
        </w:rPr>
        <w:t>及</w:t>
      </w:r>
      <w:r>
        <w:rPr>
          <w:rFonts w:hint="eastAsia"/>
          <w:color w:val="auto"/>
          <w:highlight w:val="none"/>
        </w:rPr>
        <w:t>以上人力资源社会保障部门应</w:t>
      </w:r>
      <w:r>
        <w:rPr>
          <w:rFonts w:hint="eastAsia"/>
          <w:color w:val="auto"/>
          <w:highlight w:val="none"/>
          <w:lang w:val="en-US" w:eastAsia="zh-CN"/>
        </w:rPr>
        <w:t>当</w:t>
      </w:r>
      <w:r>
        <w:rPr>
          <w:rFonts w:hint="eastAsia"/>
          <w:color w:val="auto"/>
          <w:highlight w:val="none"/>
        </w:rPr>
        <w:t>设置系统管理员岗位，明确工作职责，按规定负责权限范围内业务经办用户的建立、授权与变更、系统参数配置等工作。</w:t>
      </w:r>
    </w:p>
    <w:p w14:paraId="6BFE4449">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第八十条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设置统计工作岗位，明确工作人员职责，开展常规统计和专项统计调查等工作，按</w:t>
      </w:r>
      <w:r>
        <w:rPr>
          <w:color w:val="auto"/>
          <w:highlight w:val="none"/>
        </w:rPr>
        <w:t>规定上报统计信息，及时准确地提供统计信息服务。</w:t>
      </w:r>
    </w:p>
    <w:p w14:paraId="05D5B53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第八十一条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按照统计报表</w:t>
      </w:r>
      <w:r>
        <w:rPr>
          <w:color w:val="auto"/>
          <w:highlight w:val="none"/>
        </w:rPr>
        <w:t>制度，完成统计数据的采集和报表的编制、审核、汇总、上报等工作。</w:t>
      </w:r>
      <w:r>
        <w:rPr>
          <w:rFonts w:hint="eastAsia"/>
          <w:color w:val="auto"/>
          <w:highlight w:val="none"/>
        </w:rPr>
        <w:t>统计</w:t>
      </w:r>
      <w:r>
        <w:rPr>
          <w:color w:val="auto"/>
          <w:highlight w:val="none"/>
        </w:rPr>
        <w:t>报表应</w:t>
      </w:r>
      <w:r>
        <w:rPr>
          <w:rFonts w:hint="eastAsia"/>
          <w:color w:val="auto"/>
          <w:highlight w:val="none"/>
          <w:lang w:val="en-US" w:eastAsia="zh-CN"/>
        </w:rPr>
        <w:t>当</w:t>
      </w:r>
      <w:r>
        <w:rPr>
          <w:color w:val="auto"/>
          <w:highlight w:val="none"/>
        </w:rPr>
        <w:t>内容完整、数据准确、上报及时</w:t>
      </w:r>
      <w:r>
        <w:rPr>
          <w:rFonts w:hint="eastAsia"/>
          <w:color w:val="auto"/>
          <w:highlight w:val="none"/>
        </w:rPr>
        <w:t>，</w:t>
      </w:r>
      <w:r>
        <w:rPr>
          <w:color w:val="auto"/>
          <w:highlight w:val="none"/>
        </w:rPr>
        <w:t>统计结果应</w:t>
      </w:r>
      <w:r>
        <w:rPr>
          <w:rFonts w:hint="eastAsia"/>
          <w:color w:val="auto"/>
          <w:highlight w:val="none"/>
          <w:lang w:val="en-US" w:eastAsia="zh-CN"/>
        </w:rPr>
        <w:t>当</w:t>
      </w:r>
      <w:r>
        <w:rPr>
          <w:rFonts w:hint="eastAsia"/>
          <w:color w:val="auto"/>
          <w:highlight w:val="none"/>
        </w:rPr>
        <w:t>准确反映各地工作实际。</w:t>
      </w:r>
    </w:p>
    <w:p w14:paraId="0C5B516F">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第八十二条 </w:t>
      </w:r>
      <w:r>
        <w:rPr>
          <w:rFonts w:hint="eastAsia"/>
          <w:color w:val="auto"/>
          <w:highlight w:val="none"/>
        </w:rPr>
        <w:t xml:space="preserve"> 社保</w:t>
      </w:r>
      <w:r>
        <w:rPr>
          <w:color w:val="auto"/>
          <w:highlight w:val="none"/>
        </w:rPr>
        <w:t>机构</w:t>
      </w:r>
      <w:r>
        <w:rPr>
          <w:rFonts w:hint="eastAsia"/>
          <w:color w:val="auto"/>
          <w:highlight w:val="none"/>
        </w:rPr>
        <w:t>及乡镇（街道）服务中心</w:t>
      </w:r>
      <w:r>
        <w:rPr>
          <w:color w:val="auto"/>
          <w:highlight w:val="none"/>
        </w:rPr>
        <w:t>应</w:t>
      </w:r>
      <w:r>
        <w:rPr>
          <w:rFonts w:hint="eastAsia"/>
          <w:color w:val="auto"/>
          <w:highlight w:val="none"/>
          <w:lang w:val="en-US" w:eastAsia="zh-CN"/>
        </w:rPr>
        <w:t>当</w:t>
      </w:r>
      <w:r>
        <w:rPr>
          <w:color w:val="auto"/>
          <w:highlight w:val="none"/>
        </w:rPr>
        <w:t>定期整理各类业务数据，建立统计台账，实现数据来源的可追溯查询。</w:t>
      </w:r>
    </w:p>
    <w:p w14:paraId="118F7630">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第八十三条 </w:t>
      </w:r>
      <w:r>
        <w:rPr>
          <w:rFonts w:hint="eastAsia"/>
          <w:color w:val="auto"/>
          <w:highlight w:val="none"/>
        </w:rPr>
        <w:t xml:space="preserve"> 统计工作</w:t>
      </w:r>
      <w:r>
        <w:rPr>
          <w:color w:val="auto"/>
          <w:highlight w:val="none"/>
        </w:rPr>
        <w:t>人员应</w:t>
      </w:r>
      <w:r>
        <w:rPr>
          <w:rFonts w:hint="eastAsia"/>
          <w:color w:val="auto"/>
          <w:highlight w:val="none"/>
          <w:lang w:val="en-US" w:eastAsia="zh-CN"/>
        </w:rPr>
        <w:t>当</w:t>
      </w:r>
      <w:r>
        <w:rPr>
          <w:color w:val="auto"/>
          <w:highlight w:val="none"/>
        </w:rPr>
        <w:t>做好</w:t>
      </w:r>
      <w:r>
        <w:rPr>
          <w:rFonts w:hint="eastAsia"/>
          <w:color w:val="auto"/>
          <w:highlight w:val="none"/>
        </w:rPr>
        <w:t>居</w:t>
      </w:r>
      <w:r>
        <w:rPr>
          <w:color w:val="auto"/>
          <w:highlight w:val="none"/>
        </w:rPr>
        <w:t>民养老保险统计数据定期和专项分析</w:t>
      </w:r>
      <w:r>
        <w:rPr>
          <w:rFonts w:hint="eastAsia"/>
          <w:color w:val="auto"/>
          <w:highlight w:val="none"/>
        </w:rPr>
        <w:t>工作</w:t>
      </w:r>
      <w:r>
        <w:rPr>
          <w:color w:val="auto"/>
          <w:highlight w:val="none"/>
        </w:rPr>
        <w:t>，用于经办管理服务的评估和决策。</w:t>
      </w:r>
      <w:r>
        <w:rPr>
          <w:rFonts w:hint="eastAsia"/>
          <w:color w:val="auto"/>
          <w:highlight w:val="none"/>
        </w:rPr>
        <w:t>要定期做好统计数据与信息</w:t>
      </w:r>
      <w:r>
        <w:rPr>
          <w:color w:val="auto"/>
          <w:highlight w:val="none"/>
        </w:rPr>
        <w:t>系统数据、</w:t>
      </w:r>
      <w:r>
        <w:rPr>
          <w:rFonts w:hint="eastAsia"/>
          <w:color w:val="auto"/>
          <w:highlight w:val="none"/>
        </w:rPr>
        <w:t>财务数据比对</w:t>
      </w:r>
      <w:r>
        <w:rPr>
          <w:color w:val="auto"/>
          <w:highlight w:val="none"/>
        </w:rPr>
        <w:t>工作</w:t>
      </w:r>
      <w:r>
        <w:rPr>
          <w:rFonts w:hint="eastAsia"/>
          <w:color w:val="auto"/>
          <w:highlight w:val="none"/>
        </w:rPr>
        <w:t>，确保数据的一致性。</w:t>
      </w:r>
    </w:p>
    <w:p w14:paraId="7B206905">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p>
    <w:p w14:paraId="650E1C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kern w:val="0"/>
          <w:szCs w:val="32"/>
          <w:highlight w:val="none"/>
        </w:rPr>
      </w:pPr>
      <w:r>
        <w:rPr>
          <w:rFonts w:hint="eastAsia" w:ascii="黑体" w:hAnsi="黑体" w:eastAsia="黑体" w:cs="黑体"/>
          <w:bCs/>
          <w:color w:val="auto"/>
          <w:kern w:val="0"/>
          <w:szCs w:val="32"/>
          <w:highlight w:val="none"/>
        </w:rPr>
        <w:t>第十二章  档案管理</w:t>
      </w:r>
    </w:p>
    <w:p w14:paraId="4C31DD03">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center"/>
        <w:textAlignment w:val="auto"/>
        <w:rPr>
          <w:rFonts w:ascii="黑体" w:hAnsi="黑体" w:eastAsia="黑体" w:cs="黑体"/>
          <w:bCs/>
          <w:color w:val="auto"/>
          <w:kern w:val="0"/>
          <w:szCs w:val="32"/>
          <w:highlight w:val="none"/>
        </w:rPr>
      </w:pPr>
    </w:p>
    <w:p w14:paraId="204E5F9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lang w:val="zh-TW" w:bidi="zh-TW"/>
        </w:rPr>
      </w:pPr>
      <w:r>
        <w:rPr>
          <w:rFonts w:hint="eastAsia" w:ascii="黑体" w:hAnsi="黑体" w:eastAsia="黑体" w:cs="黑体"/>
          <w:color w:val="auto"/>
          <w:highlight w:val="none"/>
        </w:rPr>
        <w:t xml:space="preserve">第八十四条 </w:t>
      </w:r>
      <w:r>
        <w:rPr>
          <w:rFonts w:hint="eastAsia"/>
          <w:color w:val="auto"/>
          <w:highlight w:val="none"/>
        </w:rPr>
        <w:t xml:space="preserve"> </w:t>
      </w:r>
      <w:r>
        <w:rPr>
          <w:rFonts w:hint="eastAsia"/>
          <w:color w:val="auto"/>
          <w:highlight w:val="none"/>
          <w:lang w:val="zh-TW" w:eastAsia="zh-TW" w:bidi="zh-TW"/>
        </w:rPr>
        <w:t>社保机构应</w:t>
      </w:r>
      <w:r>
        <w:rPr>
          <w:rFonts w:hint="eastAsia"/>
          <w:color w:val="auto"/>
          <w:highlight w:val="none"/>
          <w:lang w:val="en-US" w:eastAsia="zh-CN" w:bidi="zh-TW"/>
        </w:rPr>
        <w:t>当</w:t>
      </w:r>
      <w:r>
        <w:rPr>
          <w:rFonts w:hint="eastAsia"/>
          <w:color w:val="auto"/>
          <w:highlight w:val="none"/>
          <w:lang w:val="zh-TW" w:eastAsia="zh-TW" w:bidi="zh-TW"/>
        </w:rPr>
        <w:t>按照《社会保险业务档案管理规定（试行）》（</w:t>
      </w:r>
      <w:r>
        <w:rPr>
          <w:rFonts w:hint="default"/>
          <w:color w:val="auto"/>
          <w:highlight w:val="none"/>
          <w:lang w:eastAsia="zh-TW" w:bidi="zh-TW"/>
        </w:rPr>
        <w:t>人力资源社会保障</w:t>
      </w:r>
      <w:r>
        <w:rPr>
          <w:rFonts w:hint="eastAsia"/>
          <w:color w:val="auto"/>
          <w:highlight w:val="none"/>
          <w:lang w:val="zh-TW" w:eastAsia="zh-TW" w:bidi="zh-TW"/>
        </w:rPr>
        <w:t>部令</w:t>
      </w:r>
      <w:r>
        <w:rPr>
          <w:rFonts w:hint="eastAsia"/>
          <w:color w:val="auto"/>
          <w:highlight w:val="none"/>
          <w:lang w:val="en-US" w:eastAsia="zh-CN" w:bidi="zh-TW"/>
        </w:rPr>
        <w:t>第</w:t>
      </w:r>
      <w:r>
        <w:rPr>
          <w:rFonts w:hint="eastAsia"/>
          <w:color w:val="auto"/>
          <w:highlight w:val="none"/>
          <w:lang w:val="zh-TW" w:eastAsia="zh-TW" w:bidi="zh-TW"/>
        </w:rPr>
        <w:t>3号）、《社会保险业务档案管理规范》（GB</w:t>
      </w:r>
      <w:r>
        <w:rPr>
          <w:rFonts w:hint="eastAsia"/>
          <w:color w:val="auto"/>
          <w:highlight w:val="none"/>
          <w:lang w:val="en-US" w:eastAsia="zh-CN" w:bidi="zh-TW"/>
        </w:rPr>
        <w:t>/</w:t>
      </w:r>
      <w:r>
        <w:rPr>
          <w:rFonts w:hint="eastAsia"/>
          <w:color w:val="auto"/>
          <w:highlight w:val="none"/>
          <w:lang w:val="zh-TW" w:eastAsia="zh-TW" w:bidi="zh-TW"/>
        </w:rPr>
        <w:t>T 31599-2015）、</w:t>
      </w:r>
      <w:r>
        <w:rPr>
          <w:rFonts w:hint="eastAsia"/>
          <w:color w:val="auto"/>
          <w:highlight w:val="none"/>
        </w:rPr>
        <w:t>《国务院关于在线政务服务的若干规定》（国务院令第716号）、</w:t>
      </w:r>
      <w:r>
        <w:rPr>
          <w:rFonts w:hint="eastAsia"/>
          <w:color w:val="auto"/>
          <w:highlight w:val="none"/>
          <w:lang w:val="zh-TW" w:eastAsia="zh-TW" w:bidi="zh-TW"/>
        </w:rPr>
        <w:t>《社会保险电子档案管理暂行办法》（人社险中心函〔2020〕16号）</w:t>
      </w:r>
      <w:r>
        <w:rPr>
          <w:rFonts w:hint="eastAsia"/>
          <w:color w:val="auto"/>
          <w:highlight w:val="none"/>
          <w:lang w:val="zh-TW" w:bidi="zh-TW"/>
        </w:rPr>
        <w:t>、</w:t>
      </w:r>
      <w:r>
        <w:rPr>
          <w:rFonts w:hint="eastAsia"/>
          <w:color w:val="auto"/>
          <w:highlight w:val="none"/>
          <w:lang w:val="zh-TW" w:eastAsia="zh-TW" w:bidi="zh-TW"/>
        </w:rPr>
        <w:t>《</w:t>
      </w:r>
      <w:r>
        <w:rPr>
          <w:rFonts w:hint="eastAsia"/>
          <w:color w:val="auto"/>
          <w:highlight w:val="none"/>
          <w:lang w:val="en-US" w:eastAsia="zh-CN" w:bidi="zh-TW"/>
        </w:rPr>
        <w:t>人力资源社会保障部办公厅</w:t>
      </w:r>
      <w:r>
        <w:rPr>
          <w:rFonts w:hint="eastAsia"/>
          <w:color w:val="auto"/>
          <w:highlight w:val="none"/>
          <w:lang w:val="zh-TW" w:bidi="zh-TW"/>
        </w:rPr>
        <w:t>关于推进社会保险经办数字化转型的指导意见</w:t>
      </w:r>
      <w:r>
        <w:rPr>
          <w:rFonts w:hint="eastAsia"/>
          <w:color w:val="auto"/>
          <w:highlight w:val="none"/>
          <w:lang w:val="zh-TW" w:eastAsia="zh-TW" w:bidi="zh-TW"/>
        </w:rPr>
        <w:t>》（</w:t>
      </w:r>
      <w:r>
        <w:rPr>
          <w:rFonts w:hint="eastAsia"/>
          <w:color w:val="auto"/>
          <w:highlight w:val="none"/>
          <w:lang w:val="zh-TW" w:bidi="zh-TW"/>
        </w:rPr>
        <w:t>人社厅发</w:t>
      </w:r>
      <w:r>
        <w:rPr>
          <w:rFonts w:hint="eastAsia"/>
          <w:color w:val="auto"/>
          <w:highlight w:val="none"/>
          <w:lang w:val="zh-TW" w:eastAsia="zh-TW" w:bidi="zh-TW"/>
        </w:rPr>
        <w:t>〔202</w:t>
      </w:r>
      <w:r>
        <w:rPr>
          <w:rFonts w:hint="eastAsia"/>
          <w:color w:val="auto"/>
          <w:highlight w:val="none"/>
          <w:lang w:val="zh-TW" w:bidi="zh-TW"/>
        </w:rPr>
        <w:t>1</w:t>
      </w:r>
      <w:r>
        <w:rPr>
          <w:rFonts w:hint="eastAsia"/>
          <w:color w:val="auto"/>
          <w:highlight w:val="none"/>
          <w:lang w:val="zh-TW" w:eastAsia="zh-TW" w:bidi="zh-TW"/>
        </w:rPr>
        <w:t>〕</w:t>
      </w:r>
      <w:r>
        <w:rPr>
          <w:rFonts w:hint="eastAsia"/>
          <w:color w:val="auto"/>
          <w:highlight w:val="none"/>
          <w:lang w:val="zh-TW" w:bidi="zh-TW"/>
        </w:rPr>
        <w:t>95</w:t>
      </w:r>
      <w:r>
        <w:rPr>
          <w:rFonts w:hint="eastAsia"/>
          <w:color w:val="auto"/>
          <w:highlight w:val="none"/>
          <w:lang w:val="zh-TW" w:eastAsia="zh-TW" w:bidi="zh-TW"/>
        </w:rPr>
        <w:t>号）</w:t>
      </w:r>
      <w:r>
        <w:rPr>
          <w:rFonts w:hint="eastAsia"/>
          <w:color w:val="auto"/>
          <w:highlight w:val="none"/>
          <w:lang w:val="zh-TW" w:bidi="zh-TW"/>
        </w:rPr>
        <w:t>、</w:t>
      </w:r>
      <w:r>
        <w:rPr>
          <w:rFonts w:hint="eastAsia"/>
          <w:color w:val="auto"/>
          <w:highlight w:val="none"/>
          <w:lang w:val="zh-TW" w:eastAsia="zh-TW" w:bidi="zh-TW"/>
        </w:rPr>
        <w:t>《</w:t>
      </w:r>
      <w:r>
        <w:rPr>
          <w:rFonts w:hint="eastAsia"/>
          <w:color w:val="auto"/>
          <w:highlight w:val="none"/>
          <w:lang w:val="en-US" w:eastAsia="zh-CN" w:bidi="zh-TW"/>
        </w:rPr>
        <w:t>人力资源社会保障部办公厅</w:t>
      </w:r>
      <w:r>
        <w:rPr>
          <w:rFonts w:hint="eastAsia"/>
          <w:color w:val="auto"/>
          <w:highlight w:val="none"/>
          <w:lang w:val="zh-TW" w:bidi="zh-TW"/>
        </w:rPr>
        <w:t>关于强化社会保险信息系统风险防控能力的通知</w:t>
      </w:r>
      <w:r>
        <w:rPr>
          <w:rFonts w:hint="eastAsia"/>
          <w:color w:val="auto"/>
          <w:highlight w:val="none"/>
          <w:lang w:val="zh-TW" w:eastAsia="zh-TW" w:bidi="zh-TW"/>
        </w:rPr>
        <w:t>》（</w:t>
      </w:r>
      <w:r>
        <w:rPr>
          <w:rFonts w:hint="eastAsia"/>
          <w:color w:val="auto"/>
          <w:highlight w:val="none"/>
          <w:lang w:val="zh-TW" w:bidi="zh-TW"/>
        </w:rPr>
        <w:t>人社厅发</w:t>
      </w:r>
      <w:r>
        <w:rPr>
          <w:rFonts w:hint="eastAsia"/>
          <w:color w:val="auto"/>
          <w:highlight w:val="none"/>
          <w:lang w:val="zh-TW" w:eastAsia="zh-TW" w:bidi="zh-TW"/>
        </w:rPr>
        <w:t>〔202</w:t>
      </w:r>
      <w:r>
        <w:rPr>
          <w:rFonts w:hint="eastAsia"/>
          <w:color w:val="auto"/>
          <w:highlight w:val="none"/>
          <w:lang w:val="zh-TW" w:bidi="zh-TW"/>
        </w:rPr>
        <w:t>2</w:t>
      </w:r>
      <w:r>
        <w:rPr>
          <w:rFonts w:hint="eastAsia"/>
          <w:color w:val="auto"/>
          <w:highlight w:val="none"/>
          <w:lang w:val="zh-TW" w:eastAsia="zh-TW" w:bidi="zh-TW"/>
        </w:rPr>
        <w:t>〕</w:t>
      </w:r>
      <w:r>
        <w:rPr>
          <w:rFonts w:hint="eastAsia"/>
          <w:color w:val="auto"/>
          <w:highlight w:val="none"/>
          <w:lang w:val="zh-TW" w:bidi="zh-TW"/>
        </w:rPr>
        <w:t>4</w:t>
      </w:r>
      <w:r>
        <w:rPr>
          <w:rFonts w:hint="eastAsia"/>
          <w:color w:val="auto"/>
          <w:highlight w:val="none"/>
          <w:lang w:val="zh-TW" w:eastAsia="zh-TW" w:bidi="zh-TW"/>
        </w:rPr>
        <w:t>号）等文件要求，对</w:t>
      </w:r>
      <w:r>
        <w:rPr>
          <w:rFonts w:hint="eastAsia"/>
          <w:color w:val="auto"/>
          <w:highlight w:val="none"/>
          <w:lang w:val="zh-TW" w:bidi="zh-TW"/>
        </w:rPr>
        <w:t>在业务办理</w:t>
      </w:r>
      <w:r>
        <w:rPr>
          <w:rFonts w:hint="eastAsia"/>
          <w:color w:val="auto"/>
          <w:highlight w:val="none"/>
          <w:lang w:val="zh-TW" w:eastAsia="zh-TW" w:bidi="zh-TW"/>
        </w:rPr>
        <w:t>过程中形成的具有保存和利用价值的专业性文字材料、电子文档、图表、声像等不同载体的业务材料做好收集、分类、整理、立卷、归档、保管、统计、利用、鉴定销毁、移交和数字化处理等工作，保证业务档案真实、完整、安全和有效。</w:t>
      </w:r>
    </w:p>
    <w:p w14:paraId="413A3483">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第八十五条 </w:t>
      </w:r>
      <w:r>
        <w:rPr>
          <w:rFonts w:hint="eastAsia"/>
          <w:color w:val="auto"/>
          <w:highlight w:val="none"/>
        </w:rPr>
        <w:t xml:space="preserve"> 县社保机构负责保管业务档案，应</w:t>
      </w:r>
      <w:r>
        <w:rPr>
          <w:rFonts w:hint="eastAsia"/>
          <w:color w:val="auto"/>
          <w:highlight w:val="none"/>
          <w:lang w:val="en-US" w:eastAsia="zh-CN"/>
        </w:rPr>
        <w:t>当</w:t>
      </w:r>
      <w:r>
        <w:rPr>
          <w:rFonts w:hint="eastAsia"/>
          <w:color w:val="auto"/>
          <w:highlight w:val="none"/>
        </w:rPr>
        <w:t>配备专门的管理人员和必要的设施、场所，确保业务档案的安全，并根据电子档案相</w:t>
      </w:r>
      <w:r>
        <w:rPr>
          <w:color w:val="auto"/>
          <w:highlight w:val="none"/>
        </w:rPr>
        <w:t>关</w:t>
      </w:r>
      <w:r>
        <w:rPr>
          <w:rFonts w:hint="eastAsia"/>
          <w:color w:val="auto"/>
          <w:highlight w:val="none"/>
        </w:rPr>
        <w:t>要求配备相应的高拍仪、扫描仪、手写板、读卡器等设备。</w:t>
      </w:r>
    </w:p>
    <w:p w14:paraId="023EB7D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bCs/>
          <w:color w:val="auto"/>
          <w:highlight w:val="none"/>
        </w:rPr>
      </w:pPr>
      <w:r>
        <w:rPr>
          <w:rFonts w:hint="eastAsia" w:ascii="黑体" w:hAnsi="黑体" w:eastAsia="黑体" w:cs="黑体"/>
          <w:color w:val="auto"/>
          <w:highlight w:val="none"/>
        </w:rPr>
        <w:t xml:space="preserve">第八十六条 </w:t>
      </w:r>
      <w:r>
        <w:rPr>
          <w:rFonts w:hint="eastAsia"/>
          <w:color w:val="auto"/>
          <w:highlight w:val="none"/>
        </w:rPr>
        <w:t xml:space="preserve"> 档案管理工作人员应当具备档案管理及相关专业知识，定期参加继续教育和培训，严格遵守保密规定，保护参保人员的合法权益和个人信息。</w:t>
      </w:r>
    </w:p>
    <w:p w14:paraId="058B969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lang w:val="zh-TW" w:bidi="zh-TW"/>
        </w:rPr>
      </w:pPr>
      <w:r>
        <w:rPr>
          <w:rFonts w:hint="eastAsia" w:ascii="黑体" w:hAnsi="黑体" w:eastAsia="黑体" w:cs="黑体"/>
          <w:color w:val="auto"/>
          <w:highlight w:val="none"/>
        </w:rPr>
        <w:t xml:space="preserve">第八十七条 </w:t>
      </w:r>
      <w:r>
        <w:rPr>
          <w:rFonts w:hint="eastAsia"/>
          <w:color w:val="auto"/>
          <w:highlight w:val="none"/>
        </w:rPr>
        <w:t xml:space="preserve"> </w:t>
      </w:r>
      <w:r>
        <w:rPr>
          <w:rFonts w:hint="eastAsia"/>
          <w:color w:val="auto"/>
          <w:highlight w:val="none"/>
          <w:lang w:eastAsia="zh-CN"/>
        </w:rPr>
        <w:t>社保机构在</w:t>
      </w:r>
      <w:r>
        <w:rPr>
          <w:rFonts w:hint="eastAsia"/>
          <w:color w:val="auto"/>
          <w:highlight w:val="none"/>
          <w:lang w:val="zh-TW" w:eastAsia="zh-TW" w:bidi="zh-TW"/>
        </w:rPr>
        <w:t>业务材料收集</w:t>
      </w:r>
      <w:r>
        <w:rPr>
          <w:rFonts w:hint="eastAsia"/>
          <w:color w:val="auto"/>
          <w:highlight w:val="none"/>
          <w:lang w:val="zh-TW" w:eastAsia="zh-CN" w:bidi="zh-TW"/>
        </w:rPr>
        <w:t>过程中，应</w:t>
      </w:r>
      <w:r>
        <w:rPr>
          <w:rFonts w:hint="eastAsia"/>
          <w:color w:val="auto"/>
          <w:highlight w:val="none"/>
          <w:lang w:val="zh-TW" w:eastAsia="zh-TW" w:bidi="zh-TW"/>
        </w:rPr>
        <w:t>遵循“谁经办</w:t>
      </w:r>
      <w:r>
        <w:rPr>
          <w:rFonts w:hint="eastAsia"/>
          <w:color w:val="auto"/>
          <w:highlight w:val="none"/>
          <w:lang w:val="zh-TW" w:eastAsia="zh-CN" w:bidi="zh-TW"/>
        </w:rPr>
        <w:t>、</w:t>
      </w:r>
      <w:r>
        <w:rPr>
          <w:rFonts w:hint="eastAsia"/>
          <w:color w:val="auto"/>
          <w:highlight w:val="none"/>
          <w:lang w:val="zh-TW" w:eastAsia="zh-TW" w:bidi="zh-TW"/>
        </w:rPr>
        <w:t>谁收集</w:t>
      </w:r>
      <w:r>
        <w:rPr>
          <w:rFonts w:hint="eastAsia"/>
          <w:color w:val="auto"/>
          <w:highlight w:val="none"/>
          <w:lang w:val="zh-TW" w:eastAsia="zh-CN" w:bidi="zh-TW"/>
        </w:rPr>
        <w:t>、</w:t>
      </w:r>
      <w:r>
        <w:rPr>
          <w:rFonts w:hint="eastAsia"/>
          <w:color w:val="auto"/>
          <w:highlight w:val="none"/>
          <w:lang w:val="zh-TW" w:bidi="zh-TW"/>
        </w:rPr>
        <w:t>谁整理</w:t>
      </w:r>
      <w:r>
        <w:rPr>
          <w:rFonts w:hint="eastAsia"/>
          <w:color w:val="auto"/>
          <w:highlight w:val="none"/>
          <w:lang w:val="zh-TW" w:eastAsia="zh-TW" w:bidi="zh-TW"/>
        </w:rPr>
        <w:t>”的原则，按照业务档案分类方案，结合业务办结时间，按件收集办结业务材料。在</w:t>
      </w:r>
      <w:r>
        <w:rPr>
          <w:rFonts w:hint="eastAsia"/>
          <w:color w:val="auto"/>
          <w:highlight w:val="none"/>
          <w:lang w:val="en-US" w:eastAsia="zh-CN" w:bidi="zh-TW"/>
        </w:rPr>
        <w:t>线上</w:t>
      </w:r>
      <w:r>
        <w:rPr>
          <w:rFonts w:hint="eastAsia"/>
          <w:color w:val="auto"/>
          <w:highlight w:val="none"/>
          <w:lang w:val="zh-TW" w:eastAsia="zh-TW" w:bidi="zh-TW"/>
        </w:rPr>
        <w:t>和</w:t>
      </w:r>
      <w:r>
        <w:rPr>
          <w:rFonts w:hint="eastAsia"/>
          <w:color w:val="auto"/>
          <w:highlight w:val="none"/>
          <w:lang w:val="en-US" w:eastAsia="zh-CN" w:bidi="zh-TW"/>
        </w:rPr>
        <w:t>线下服务渠道</w:t>
      </w:r>
      <w:r>
        <w:rPr>
          <w:rFonts w:hint="eastAsia"/>
          <w:color w:val="auto"/>
          <w:highlight w:val="none"/>
          <w:lang w:val="zh-TW" w:eastAsia="zh-TW" w:bidi="zh-TW"/>
        </w:rPr>
        <w:t>办理</w:t>
      </w:r>
      <w:r>
        <w:rPr>
          <w:rFonts w:hint="eastAsia"/>
          <w:color w:val="auto"/>
          <w:highlight w:val="none"/>
          <w:lang w:val="en-US" w:eastAsia="zh-CN" w:bidi="zh-TW"/>
        </w:rPr>
        <w:t>时</w:t>
      </w:r>
      <w:r>
        <w:rPr>
          <w:rFonts w:hint="eastAsia"/>
          <w:color w:val="auto"/>
          <w:highlight w:val="none"/>
          <w:lang w:val="zh-TW" w:eastAsia="zh-TW" w:bidi="zh-TW"/>
        </w:rPr>
        <w:t>实现即时</w:t>
      </w:r>
      <w:r>
        <w:rPr>
          <w:rFonts w:hint="eastAsia"/>
          <w:color w:val="auto"/>
          <w:highlight w:val="none"/>
          <w:lang w:val="en-US" w:eastAsia="zh-CN" w:bidi="zh-TW"/>
        </w:rPr>
        <w:t>影像化</w:t>
      </w:r>
      <w:r>
        <w:rPr>
          <w:rFonts w:hint="eastAsia"/>
          <w:color w:val="auto"/>
          <w:highlight w:val="none"/>
          <w:lang w:val="zh-TW" w:eastAsia="zh-TW" w:bidi="zh-TW"/>
        </w:rPr>
        <w:t>扫描的经办业务</w:t>
      </w:r>
      <w:r>
        <w:rPr>
          <w:rFonts w:hint="eastAsia"/>
          <w:color w:val="auto"/>
          <w:highlight w:val="none"/>
          <w:lang w:val="zh-TW" w:bidi="zh-TW"/>
        </w:rPr>
        <w:t>，</w:t>
      </w:r>
      <w:r>
        <w:rPr>
          <w:rFonts w:hint="eastAsia"/>
          <w:color w:val="auto"/>
          <w:highlight w:val="none"/>
          <w:lang w:val="zh-TW" w:eastAsia="zh-TW" w:bidi="zh-TW"/>
        </w:rPr>
        <w:t>可只留存电子档案</w:t>
      </w:r>
      <w:r>
        <w:rPr>
          <w:rFonts w:hint="eastAsia"/>
          <w:color w:val="auto"/>
          <w:highlight w:val="none"/>
          <w:lang w:val="zh-TW" w:bidi="zh-TW"/>
        </w:rPr>
        <w:t>，</w:t>
      </w:r>
      <w:r>
        <w:rPr>
          <w:rFonts w:hint="eastAsia"/>
          <w:color w:val="auto"/>
          <w:highlight w:val="none"/>
          <w:lang w:val="zh-TW" w:eastAsia="zh-TW" w:bidi="zh-TW"/>
        </w:rPr>
        <w:t>由业务经办人按照电子档案业务流程进行归档管理</w:t>
      </w:r>
      <w:r>
        <w:rPr>
          <w:rFonts w:hint="eastAsia"/>
          <w:color w:val="auto"/>
          <w:highlight w:val="none"/>
          <w:lang w:val="zh-TW" w:eastAsia="zh-CN" w:bidi="zh-TW"/>
        </w:rPr>
        <w:t>，</w:t>
      </w:r>
      <w:r>
        <w:rPr>
          <w:rFonts w:hint="eastAsia"/>
          <w:color w:val="auto"/>
          <w:highlight w:val="none"/>
          <w:lang w:val="en-US" w:eastAsia="zh-CN" w:bidi="zh-TW"/>
        </w:rPr>
        <w:t>纸质材料由参保人员自行留存</w:t>
      </w:r>
      <w:r>
        <w:rPr>
          <w:rFonts w:hint="eastAsia"/>
          <w:color w:val="auto"/>
          <w:highlight w:val="none"/>
          <w:lang w:val="zh-TW" w:eastAsia="zh-TW" w:bidi="zh-TW"/>
        </w:rPr>
        <w:t>。在</w:t>
      </w:r>
      <w:r>
        <w:rPr>
          <w:rFonts w:hint="eastAsia"/>
          <w:color w:val="auto"/>
          <w:highlight w:val="none"/>
          <w:lang w:val="zh-TW" w:bidi="zh-TW"/>
        </w:rPr>
        <w:t>信息</w:t>
      </w:r>
      <w:r>
        <w:rPr>
          <w:rFonts w:hint="eastAsia"/>
          <w:color w:val="auto"/>
          <w:highlight w:val="none"/>
          <w:lang w:val="zh-TW" w:eastAsia="zh-TW" w:bidi="zh-TW"/>
        </w:rPr>
        <w:t>系统中未实现材料即时影像化扫描的经办业务</w:t>
      </w:r>
      <w:r>
        <w:rPr>
          <w:rFonts w:hint="eastAsia"/>
          <w:color w:val="auto"/>
          <w:highlight w:val="none"/>
          <w:lang w:val="zh-TW" w:bidi="zh-TW"/>
        </w:rPr>
        <w:t>，</w:t>
      </w:r>
      <w:r>
        <w:rPr>
          <w:rFonts w:hint="eastAsia"/>
          <w:color w:val="auto"/>
          <w:highlight w:val="none"/>
          <w:lang w:val="zh-TW" w:eastAsia="zh-TW" w:bidi="zh-TW"/>
        </w:rPr>
        <w:t>按照规定留存纸质</w:t>
      </w:r>
      <w:r>
        <w:rPr>
          <w:rFonts w:hint="eastAsia"/>
          <w:color w:val="auto"/>
          <w:highlight w:val="none"/>
          <w:lang w:val="en-US" w:eastAsia="zh-CN" w:bidi="zh-TW"/>
        </w:rPr>
        <w:t>材</w:t>
      </w:r>
      <w:r>
        <w:rPr>
          <w:rFonts w:hint="eastAsia"/>
          <w:color w:val="auto"/>
          <w:highlight w:val="none"/>
          <w:lang w:val="zh-TW" w:eastAsia="zh-TW" w:bidi="zh-TW"/>
        </w:rPr>
        <w:t>料，并及时进行</w:t>
      </w:r>
      <w:r>
        <w:rPr>
          <w:rFonts w:hint="eastAsia"/>
          <w:color w:val="auto"/>
          <w:highlight w:val="none"/>
          <w:lang w:val="zh-TW" w:bidi="zh-TW"/>
        </w:rPr>
        <w:t>数字化</w:t>
      </w:r>
      <w:r>
        <w:rPr>
          <w:rFonts w:hint="eastAsia"/>
          <w:color w:val="auto"/>
          <w:highlight w:val="none"/>
          <w:lang w:val="zh-TW" w:eastAsia="zh-TW" w:bidi="zh-TW"/>
        </w:rPr>
        <w:t>处理。</w:t>
      </w:r>
    </w:p>
    <w:p w14:paraId="611FFB0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lang w:val="zh-TW" w:eastAsia="zh-TW" w:bidi="zh-TW"/>
        </w:rPr>
      </w:pPr>
      <w:r>
        <w:rPr>
          <w:rFonts w:hint="eastAsia" w:ascii="黑体" w:hAnsi="黑体" w:eastAsia="黑体" w:cs="黑体"/>
          <w:color w:val="auto"/>
          <w:highlight w:val="none"/>
        </w:rPr>
        <w:t xml:space="preserve">第八十八条 </w:t>
      </w:r>
      <w:r>
        <w:rPr>
          <w:rFonts w:hint="eastAsia"/>
          <w:color w:val="auto"/>
          <w:highlight w:val="none"/>
        </w:rPr>
        <w:t xml:space="preserve"> 社保机构要</w:t>
      </w:r>
      <w:r>
        <w:rPr>
          <w:rFonts w:hint="eastAsia"/>
          <w:color w:val="auto"/>
          <w:highlight w:val="none"/>
          <w:lang w:val="zh-TW" w:eastAsia="zh-TW" w:bidi="zh-TW"/>
        </w:rPr>
        <w:t>积极推进业务经办与电子档案融合应用</w:t>
      </w:r>
      <w:r>
        <w:rPr>
          <w:rFonts w:hint="eastAsia"/>
          <w:color w:val="auto"/>
          <w:highlight w:val="none"/>
          <w:lang w:val="zh-TW" w:bidi="zh-TW"/>
        </w:rPr>
        <w:t>，</w:t>
      </w:r>
      <w:r>
        <w:rPr>
          <w:rFonts w:hint="eastAsia"/>
          <w:color w:val="auto"/>
          <w:highlight w:val="none"/>
          <w:lang w:val="zh-TW" w:eastAsia="zh-TW" w:bidi="zh-TW"/>
        </w:rPr>
        <w:t>实现历史档案数字化、业务档案一体化、档案传递同步化、材料归档自动化、档案应用场景化，准确完整记录社会保险全生命周期信息，实现社会保险电子档案政务通用，更好地推动“一网通办”。</w:t>
      </w:r>
    </w:p>
    <w:p w14:paraId="3AF4A1A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lang w:val="zh-TW" w:eastAsia="zh-TW" w:bidi="zh-TW"/>
        </w:rPr>
        <w:t>原则上申请人提交的证照、材料</w:t>
      </w:r>
      <w:r>
        <w:rPr>
          <w:rFonts w:hint="eastAsia"/>
          <w:color w:val="auto"/>
          <w:highlight w:val="none"/>
          <w:lang w:val="en-US" w:eastAsia="zh-CN" w:bidi="zh-TW"/>
        </w:rPr>
        <w:t>及</w:t>
      </w:r>
      <w:r>
        <w:rPr>
          <w:rFonts w:hint="eastAsia"/>
          <w:color w:val="auto"/>
          <w:highlight w:val="none"/>
          <w:lang w:val="zh-TW" w:eastAsia="zh-TW" w:bidi="zh-TW"/>
        </w:rPr>
        <w:t>填写的表单等业务资料</w:t>
      </w:r>
      <w:r>
        <w:rPr>
          <w:rFonts w:hint="eastAsia"/>
          <w:color w:val="auto"/>
          <w:highlight w:val="none"/>
          <w:lang w:val="zh-TW" w:bidi="zh-TW"/>
        </w:rPr>
        <w:t>，</w:t>
      </w:r>
      <w:r>
        <w:rPr>
          <w:rFonts w:hint="eastAsia"/>
          <w:color w:val="auto"/>
          <w:highlight w:val="none"/>
          <w:lang w:val="zh-TW" w:eastAsia="zh-TW" w:bidi="zh-TW"/>
        </w:rPr>
        <w:t>应扫尽扫</w:t>
      </w:r>
      <w:r>
        <w:rPr>
          <w:rFonts w:hint="eastAsia"/>
          <w:color w:val="auto"/>
          <w:highlight w:val="none"/>
          <w:lang w:val="zh-TW" w:eastAsia="zh-CN" w:bidi="zh-TW"/>
        </w:rPr>
        <w:t>、</w:t>
      </w:r>
      <w:r>
        <w:rPr>
          <w:rFonts w:hint="eastAsia"/>
          <w:color w:val="auto"/>
          <w:highlight w:val="none"/>
          <w:lang w:val="zh-TW" w:eastAsia="zh-TW" w:bidi="zh-TW"/>
        </w:rPr>
        <w:t>应</w:t>
      </w:r>
      <w:r>
        <w:rPr>
          <w:rFonts w:hint="eastAsia"/>
          <w:color w:val="auto"/>
          <w:highlight w:val="none"/>
          <w:lang w:val="zh-TW" w:bidi="zh-TW"/>
        </w:rPr>
        <w:t>入尽入；</w:t>
      </w:r>
      <w:r>
        <w:rPr>
          <w:rFonts w:hint="eastAsia"/>
          <w:color w:val="auto"/>
          <w:highlight w:val="none"/>
          <w:lang w:val="zh-TW" w:eastAsia="zh-TW" w:bidi="zh-TW"/>
        </w:rPr>
        <w:t>需跨层级审核的业务</w:t>
      </w:r>
      <w:r>
        <w:rPr>
          <w:rFonts w:hint="eastAsia"/>
          <w:color w:val="auto"/>
          <w:highlight w:val="none"/>
          <w:lang w:val="zh-TW" w:bidi="zh-TW"/>
        </w:rPr>
        <w:t>，</w:t>
      </w:r>
      <w:r>
        <w:rPr>
          <w:rFonts w:hint="eastAsia"/>
          <w:color w:val="auto"/>
          <w:highlight w:val="none"/>
          <w:lang w:val="zh-TW" w:eastAsia="zh-TW" w:bidi="zh-TW"/>
        </w:rPr>
        <w:t>佐证材料必须扫描并同步提交</w:t>
      </w:r>
      <w:r>
        <w:rPr>
          <w:rFonts w:hint="eastAsia"/>
          <w:color w:val="auto"/>
          <w:highlight w:val="none"/>
          <w:lang w:val="zh-TW" w:bidi="zh-TW"/>
        </w:rPr>
        <w:t>；</w:t>
      </w:r>
      <w:r>
        <w:rPr>
          <w:rFonts w:hint="eastAsia"/>
          <w:color w:val="auto"/>
          <w:highlight w:val="none"/>
          <w:lang w:val="zh-TW" w:eastAsia="zh-TW" w:bidi="zh-TW"/>
        </w:rPr>
        <w:t>业务经办过程中利用外部共享数据和电子证照作为业务凭证的</w:t>
      </w:r>
      <w:r>
        <w:rPr>
          <w:rFonts w:hint="eastAsia"/>
          <w:color w:val="auto"/>
          <w:highlight w:val="none"/>
          <w:lang w:val="zh-TW" w:bidi="zh-TW"/>
        </w:rPr>
        <w:t>，</w:t>
      </w:r>
      <w:r>
        <w:rPr>
          <w:rFonts w:hint="eastAsia"/>
          <w:color w:val="auto"/>
          <w:highlight w:val="none"/>
          <w:lang w:val="zh-TW" w:eastAsia="zh-TW" w:bidi="zh-TW"/>
        </w:rPr>
        <w:t>应</w:t>
      </w:r>
      <w:r>
        <w:rPr>
          <w:rFonts w:hint="eastAsia"/>
          <w:color w:val="auto"/>
          <w:highlight w:val="none"/>
          <w:lang w:val="en-US" w:eastAsia="zh-CN" w:bidi="zh-TW"/>
        </w:rPr>
        <w:t>当</w:t>
      </w:r>
      <w:r>
        <w:rPr>
          <w:rFonts w:hint="eastAsia"/>
          <w:color w:val="auto"/>
          <w:highlight w:val="none"/>
          <w:lang w:val="zh-TW" w:eastAsia="zh-TW" w:bidi="zh-TW"/>
        </w:rPr>
        <w:t>同步固化并归入电子档案。对业务经办中初次采集、其他系统转</w:t>
      </w:r>
      <w:r>
        <w:rPr>
          <w:rFonts w:hint="eastAsia"/>
          <w:color w:val="auto"/>
          <w:highlight w:val="none"/>
          <w:lang w:val="zh-TW" w:bidi="zh-TW"/>
        </w:rPr>
        <w:t>入、信息</w:t>
      </w:r>
      <w:r>
        <w:rPr>
          <w:rFonts w:hint="eastAsia"/>
          <w:color w:val="auto"/>
          <w:highlight w:val="none"/>
          <w:lang w:val="zh-TW" w:eastAsia="zh-TW" w:bidi="zh-TW"/>
        </w:rPr>
        <w:t>系统转换产生的重要电子信息和系统元数据进行归档备份，并按照相关规定管理。</w:t>
      </w:r>
    </w:p>
    <w:p w14:paraId="4754D12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lang w:val="zh-TW" w:eastAsia="zh-TW" w:bidi="zh-TW"/>
        </w:rPr>
      </w:pPr>
      <w:r>
        <w:rPr>
          <w:rFonts w:hint="eastAsia" w:ascii="黑体" w:hAnsi="黑体" w:eastAsia="黑体" w:cs="黑体"/>
          <w:color w:val="auto"/>
          <w:highlight w:val="none"/>
        </w:rPr>
        <w:t xml:space="preserve">第八十九条 </w:t>
      </w:r>
      <w:r>
        <w:rPr>
          <w:rFonts w:hint="eastAsia"/>
          <w:color w:val="auto"/>
          <w:highlight w:val="none"/>
        </w:rPr>
        <w:t xml:space="preserve"> </w:t>
      </w:r>
      <w:r>
        <w:rPr>
          <w:rFonts w:hint="eastAsia"/>
          <w:color w:val="auto"/>
          <w:highlight w:val="none"/>
          <w:lang w:val="zh-TW" w:eastAsia="zh-TW" w:bidi="zh-TW"/>
        </w:rPr>
        <w:t>社保机构应</w:t>
      </w:r>
      <w:r>
        <w:rPr>
          <w:rFonts w:hint="eastAsia"/>
          <w:color w:val="auto"/>
          <w:highlight w:val="none"/>
          <w:lang w:val="en-US" w:eastAsia="zh-CN" w:bidi="zh-TW"/>
        </w:rPr>
        <w:t>当</w:t>
      </w:r>
      <w:r>
        <w:rPr>
          <w:rFonts w:hint="eastAsia"/>
          <w:color w:val="auto"/>
          <w:highlight w:val="none"/>
          <w:lang w:val="zh-TW" w:eastAsia="zh-TW" w:bidi="zh-TW"/>
        </w:rPr>
        <w:t>对收集整理后的业务材料（含电子材料）及时组卷，并进行编号和编目。组卷时视业务量大小可按月、季或年度组卷，不能跨年组卷。</w:t>
      </w:r>
    </w:p>
    <w:p w14:paraId="5B5E15F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lang w:val="zh-TW" w:bidi="zh-TW"/>
        </w:rPr>
      </w:pPr>
      <w:r>
        <w:rPr>
          <w:rFonts w:hint="eastAsia" w:ascii="黑体" w:hAnsi="黑体" w:eastAsia="黑体" w:cs="黑体"/>
          <w:color w:val="auto"/>
          <w:highlight w:val="none"/>
        </w:rPr>
        <w:t xml:space="preserve">第九十条 </w:t>
      </w:r>
      <w:r>
        <w:rPr>
          <w:rFonts w:hint="eastAsia"/>
          <w:color w:val="auto"/>
          <w:highlight w:val="none"/>
        </w:rPr>
        <w:t xml:space="preserve"> </w:t>
      </w:r>
      <w:r>
        <w:rPr>
          <w:rFonts w:hint="eastAsia"/>
          <w:color w:val="auto"/>
          <w:highlight w:val="none"/>
          <w:lang w:val="zh-TW" w:eastAsia="zh-TW" w:bidi="zh-TW"/>
        </w:rPr>
        <w:t>社保机构负责对居民养老保险业务办理过程中形成的业务材料</w:t>
      </w:r>
      <w:r>
        <w:rPr>
          <w:rFonts w:hint="eastAsia"/>
          <w:color w:val="auto"/>
          <w:highlight w:val="none"/>
          <w:lang w:val="zh-TW" w:eastAsia="zh-CN" w:bidi="zh-TW"/>
        </w:rPr>
        <w:t>，</w:t>
      </w:r>
      <w:r>
        <w:rPr>
          <w:rFonts w:hint="eastAsia"/>
          <w:color w:val="auto"/>
          <w:highlight w:val="none"/>
          <w:lang w:val="zh-TW" w:eastAsia="zh-TW" w:bidi="zh-TW"/>
        </w:rPr>
        <w:t>以及居民养老保险基金会计核算过程中形成的会计材料进行档案利用、鉴定和销毁，积极推进基金会计档案与业务档案同步电子化建设</w:t>
      </w:r>
      <w:r>
        <w:rPr>
          <w:rFonts w:hint="eastAsia"/>
          <w:color w:val="auto"/>
          <w:highlight w:val="none"/>
          <w:lang w:val="zh-TW" w:eastAsia="zh-CN" w:bidi="zh-TW"/>
        </w:rPr>
        <w:t>。基金会计档案包括会计凭证、会计账簿和会计报表等材料，社保机构应当按照《会计档案管理办法》的相关规定管理。</w:t>
      </w:r>
    </w:p>
    <w:p w14:paraId="3844733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lang w:val="zh-TW" w:eastAsia="zh-TW" w:bidi="zh-TW"/>
        </w:rPr>
      </w:pPr>
      <w:r>
        <w:rPr>
          <w:rFonts w:hint="eastAsia" w:ascii="黑体" w:hAnsi="黑体" w:eastAsia="黑体" w:cs="黑体"/>
          <w:color w:val="auto"/>
          <w:highlight w:val="none"/>
        </w:rPr>
        <w:t xml:space="preserve">第九十一条 </w:t>
      </w:r>
      <w:r>
        <w:rPr>
          <w:rFonts w:hint="eastAsia"/>
          <w:color w:val="auto"/>
          <w:highlight w:val="none"/>
        </w:rPr>
        <w:t xml:space="preserve"> </w:t>
      </w:r>
      <w:r>
        <w:rPr>
          <w:rFonts w:hint="eastAsia"/>
          <w:color w:val="auto"/>
          <w:highlight w:val="none"/>
          <w:lang w:val="zh-TW" w:eastAsia="zh-TW" w:bidi="zh-TW"/>
        </w:rPr>
        <w:t>对永久和长期保管的业务档案，应</w:t>
      </w:r>
      <w:r>
        <w:rPr>
          <w:rFonts w:hint="eastAsia"/>
          <w:color w:val="auto"/>
          <w:highlight w:val="none"/>
          <w:lang w:val="en-US" w:eastAsia="zh-CN" w:bidi="zh-TW"/>
        </w:rPr>
        <w:t>当</w:t>
      </w:r>
      <w:r>
        <w:rPr>
          <w:rFonts w:hint="eastAsia"/>
          <w:color w:val="auto"/>
          <w:highlight w:val="none"/>
          <w:lang w:val="zh-TW" w:eastAsia="zh-TW" w:bidi="zh-TW"/>
        </w:rPr>
        <w:t>定期向同级档案管理部门移交。档案非经业务档案鉴定小组鉴定，不得销毁。对经过鉴定可以销毁的业务档案，应</w:t>
      </w:r>
      <w:r>
        <w:rPr>
          <w:rFonts w:hint="eastAsia"/>
          <w:color w:val="auto"/>
          <w:highlight w:val="none"/>
          <w:lang w:val="en-US" w:eastAsia="zh-CN" w:bidi="zh-TW"/>
        </w:rPr>
        <w:t>当</w:t>
      </w:r>
      <w:r>
        <w:rPr>
          <w:rFonts w:hint="eastAsia"/>
          <w:color w:val="auto"/>
          <w:highlight w:val="none"/>
          <w:lang w:val="zh-TW" w:eastAsia="zh-TW" w:bidi="zh-TW"/>
        </w:rPr>
        <w:t>编制销毁清册，按规定销毁。</w:t>
      </w:r>
    </w:p>
    <w:p w14:paraId="06FBB5A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lang w:val="zh-TW" w:eastAsia="zh-TW" w:bidi="zh-TW"/>
        </w:rPr>
      </w:pPr>
      <w:r>
        <w:rPr>
          <w:rFonts w:hint="eastAsia" w:ascii="黑体" w:hAnsi="黑体" w:eastAsia="黑体" w:cs="黑体"/>
          <w:color w:val="auto"/>
          <w:highlight w:val="none"/>
        </w:rPr>
        <w:t xml:space="preserve">第九十二条 </w:t>
      </w:r>
      <w:r>
        <w:rPr>
          <w:rFonts w:hint="eastAsia"/>
          <w:color w:val="auto"/>
          <w:highlight w:val="none"/>
        </w:rPr>
        <w:t xml:space="preserve"> </w:t>
      </w:r>
      <w:r>
        <w:rPr>
          <w:rFonts w:hint="eastAsia"/>
          <w:color w:val="auto"/>
          <w:highlight w:val="none"/>
          <w:lang w:val="zh-TW" w:eastAsia="zh-TW" w:bidi="zh-TW"/>
        </w:rPr>
        <w:t>社保机构应</w:t>
      </w:r>
      <w:r>
        <w:rPr>
          <w:rFonts w:hint="eastAsia"/>
          <w:color w:val="auto"/>
          <w:highlight w:val="none"/>
          <w:lang w:val="en-US" w:eastAsia="zh-CN" w:bidi="zh-TW"/>
        </w:rPr>
        <w:t>当</w:t>
      </w:r>
      <w:r>
        <w:rPr>
          <w:rFonts w:hint="eastAsia"/>
          <w:color w:val="auto"/>
          <w:highlight w:val="none"/>
          <w:lang w:val="zh-TW" w:eastAsia="zh-TW" w:bidi="zh-TW"/>
        </w:rPr>
        <w:t>依法依规向参保</w:t>
      </w:r>
      <w:r>
        <w:rPr>
          <w:rFonts w:hint="eastAsia"/>
          <w:color w:val="auto"/>
          <w:highlight w:val="none"/>
          <w:lang w:bidi="zh-TW"/>
        </w:rPr>
        <w:t>人员</w:t>
      </w:r>
      <w:r>
        <w:rPr>
          <w:rFonts w:hint="eastAsia"/>
          <w:color w:val="auto"/>
          <w:highlight w:val="none"/>
          <w:lang w:val="zh-TW" w:eastAsia="zh-TW" w:bidi="zh-TW"/>
        </w:rPr>
        <w:t>、行政管理等相关部门提供档案信息查询服务，并做好档案信息</w:t>
      </w:r>
      <w:r>
        <w:rPr>
          <w:rFonts w:hint="eastAsia"/>
          <w:color w:val="auto"/>
          <w:highlight w:val="none"/>
          <w:lang w:val="en-US" w:eastAsia="zh-CN" w:bidi="zh-TW"/>
        </w:rPr>
        <w:t>查询</w:t>
      </w:r>
      <w:r>
        <w:rPr>
          <w:rFonts w:hint="eastAsia"/>
          <w:color w:val="auto"/>
          <w:highlight w:val="none"/>
          <w:lang w:val="zh-TW" w:eastAsia="zh-TW" w:bidi="zh-TW"/>
        </w:rPr>
        <w:t>登记。</w:t>
      </w:r>
    </w:p>
    <w:p w14:paraId="10B3E50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rFonts w:eastAsia="PMingLiU"/>
          <w:color w:val="auto"/>
          <w:highlight w:val="none"/>
          <w:lang w:eastAsia="zh-TW"/>
        </w:rPr>
      </w:pPr>
    </w:p>
    <w:p w14:paraId="2CFD71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Cs w:val="32"/>
          <w:highlight w:val="none"/>
        </w:rPr>
      </w:pPr>
      <w:r>
        <w:rPr>
          <w:rFonts w:hint="eastAsia" w:ascii="黑体" w:hAnsi="黑体" w:eastAsia="黑体" w:cs="黑体"/>
          <w:color w:val="auto"/>
          <w:kern w:val="0"/>
          <w:szCs w:val="32"/>
          <w:highlight w:val="none"/>
        </w:rPr>
        <w:t>第十三章  核查内控</w:t>
      </w:r>
    </w:p>
    <w:p w14:paraId="3E4719C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p>
    <w:p w14:paraId="48B1AFC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第九十三条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按照《社会保险稽核办法》（</w:t>
      </w:r>
      <w:r>
        <w:rPr>
          <w:rFonts w:hint="eastAsia"/>
          <w:color w:val="auto"/>
          <w:highlight w:val="none"/>
          <w:lang w:val="en-US" w:eastAsia="zh-CN"/>
        </w:rPr>
        <w:t>劳动和社会保障部令</w:t>
      </w:r>
      <w:r>
        <w:rPr>
          <w:rFonts w:hint="eastAsia"/>
          <w:color w:val="auto"/>
          <w:highlight w:val="none"/>
        </w:rPr>
        <w:t>第16号）、《社会保险数据稽核规程（试行）》（人社厅发〔2019〕119号）、《山东省社会保险稽查办法》（</w:t>
      </w:r>
      <w:r>
        <w:rPr>
          <w:rFonts w:hint="eastAsia"/>
          <w:color w:val="auto"/>
          <w:highlight w:val="none"/>
          <w:lang w:val="en-US" w:eastAsia="zh-CN"/>
        </w:rPr>
        <w:t>山东省人民政府令第158号</w:t>
      </w:r>
      <w:r>
        <w:rPr>
          <w:rFonts w:hint="eastAsia"/>
          <w:color w:val="auto"/>
          <w:highlight w:val="none"/>
        </w:rPr>
        <w:t>）等规定，开展社会保险核查工作，通过日常核查、重点核查、举报核查、数据核查等方式进行，重点核查居民养老保险的参保登记、待遇享受、服务机构履行服务协议等情况。</w:t>
      </w:r>
    </w:p>
    <w:p w14:paraId="0FA73FD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第九十四条 </w:t>
      </w:r>
      <w:r>
        <w:rPr>
          <w:rFonts w:hint="eastAsia" w:ascii="黑体" w:hAnsi="黑体" w:eastAsia="黑体" w:cs="黑体"/>
          <w:color w:val="auto"/>
          <w:highlight w:val="none"/>
          <w:lang w:val="en-US" w:eastAsia="zh-CN"/>
        </w:rPr>
        <w:t xml:space="preserve"> </w:t>
      </w:r>
      <w:r>
        <w:rPr>
          <w:rFonts w:hint="eastAsia"/>
          <w:color w:val="auto"/>
          <w:highlight w:val="none"/>
        </w:rPr>
        <w:t>社保机构应</w:t>
      </w:r>
      <w:r>
        <w:rPr>
          <w:rFonts w:hint="eastAsia"/>
          <w:color w:val="auto"/>
          <w:highlight w:val="none"/>
          <w:lang w:val="en-US" w:eastAsia="zh-CN"/>
        </w:rPr>
        <w:t>当</w:t>
      </w:r>
      <w:r>
        <w:rPr>
          <w:rFonts w:hint="eastAsia"/>
          <w:color w:val="auto"/>
          <w:highlight w:val="none"/>
        </w:rPr>
        <w:t>以信息系统控制为核心，将政策性校验规则、逻辑校验规则等风险防控措施嵌入信息系统，实现事前预防控制、事中核验比对、事后核查检查全流程风险防控。</w:t>
      </w:r>
    </w:p>
    <w:p w14:paraId="73CDC64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第九十五条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建立并及时更新数据核查规则库，通过跨部门、跨险种数据筛查比对，形成疑点数据信息，组织实施数据核查。</w:t>
      </w:r>
    </w:p>
    <w:p w14:paraId="798D6CF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第九十六条 </w:t>
      </w:r>
      <w:r>
        <w:rPr>
          <w:rFonts w:hint="eastAsia"/>
          <w:color w:val="auto"/>
          <w:highlight w:val="none"/>
        </w:rPr>
        <w:t xml:space="preserve"> </w:t>
      </w:r>
      <w:r>
        <w:rPr>
          <w:color w:val="auto"/>
          <w:highlight w:val="none"/>
        </w:rPr>
        <w:t>社保机构应当建立健全业务、财务、安全和风险管理等内部控制制度。</w:t>
      </w:r>
      <w:r>
        <w:rPr>
          <w:rFonts w:hint="eastAsia"/>
          <w:color w:val="auto"/>
          <w:highlight w:val="none"/>
        </w:rPr>
        <w:t>要按照《社会保险经办机构内部控制暂行办法》（劳社部发〔2007〕2号）、《山东省社会保险经办机构内部控制管理办法》（鲁人社发〔2022〕4号）等制度规定，防范各类经办风险。</w:t>
      </w:r>
    </w:p>
    <w:p w14:paraId="2A115B9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color w:val="auto"/>
          <w:highlight w:val="none"/>
        </w:rPr>
        <w:t>社保机构应当定期对</w:t>
      </w:r>
      <w:r>
        <w:rPr>
          <w:bCs/>
          <w:color w:val="auto"/>
          <w:highlight w:val="none"/>
        </w:rPr>
        <w:t>内部控制制度</w:t>
      </w:r>
      <w:r>
        <w:rPr>
          <w:color w:val="auto"/>
          <w:highlight w:val="none"/>
        </w:rPr>
        <w:t>的制定、执行情况进行检查、评估，对发现的问题进行整改。</w:t>
      </w:r>
    </w:p>
    <w:p w14:paraId="6434FCF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上级社保机构对下级社保机构内部控制工作进行指导。</w:t>
      </w:r>
    </w:p>
    <w:p w14:paraId="7D54083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第九十七条 </w:t>
      </w:r>
      <w:r>
        <w:rPr>
          <w:rFonts w:hint="eastAsia"/>
          <w:color w:val="auto"/>
          <w:highlight w:val="none"/>
        </w:rPr>
        <w:t xml:space="preserve"> 社保机构应</w:t>
      </w:r>
      <w:r>
        <w:rPr>
          <w:rFonts w:hint="eastAsia"/>
          <w:color w:val="auto"/>
          <w:highlight w:val="none"/>
          <w:lang w:val="en-US" w:eastAsia="zh-CN"/>
        </w:rPr>
        <w:t>当</w:t>
      </w:r>
      <w:r>
        <w:rPr>
          <w:rFonts w:hint="eastAsia"/>
          <w:color w:val="auto"/>
          <w:highlight w:val="none"/>
        </w:rPr>
        <w:t>建立以内部控制领导小组为决策层，内控部门为组织层，业务、财务部门为实施层，信息化综合管理机构为支撑层的内部控制组织体系。业务部门负责本部门各环节的内部控制工作，内控部门负责组织实施本机构内部控制的监督检查工作。</w:t>
      </w:r>
    </w:p>
    <w:p w14:paraId="1D6CE52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第九十八条  </w:t>
      </w:r>
      <w:r>
        <w:rPr>
          <w:rFonts w:hint="eastAsia"/>
          <w:color w:val="auto"/>
          <w:highlight w:val="none"/>
        </w:rPr>
        <w:t>社保机构应当按照《社会保险经办机构岗位权限管理办法》（人社厅发〔2021〕64号）规定，坚持分级负责、岗位制衡、系统赋权、风险可控的原则，严格岗位权限管理，科学合理设置业务经办工作岗位，明确不相容岗位及职责分工，确保不相容岗位人员分离。</w:t>
      </w:r>
    </w:p>
    <w:p w14:paraId="498DCB18">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第九十九条  </w:t>
      </w:r>
      <w:r>
        <w:rPr>
          <w:rFonts w:hint="eastAsia"/>
          <w:color w:val="auto"/>
          <w:highlight w:val="none"/>
        </w:rPr>
        <w:t>社保机构应</w:t>
      </w:r>
      <w:r>
        <w:rPr>
          <w:rFonts w:hint="eastAsia"/>
          <w:color w:val="auto"/>
          <w:highlight w:val="none"/>
          <w:lang w:val="en-US" w:eastAsia="zh-CN"/>
        </w:rPr>
        <w:t>当</w:t>
      </w:r>
      <w:r>
        <w:rPr>
          <w:rFonts w:hint="eastAsia"/>
          <w:color w:val="auto"/>
          <w:highlight w:val="none"/>
        </w:rPr>
        <w:t>按照《社会保险基金要情报告制度》（人社部发〔2020〕21号）规定，向同级人</w:t>
      </w:r>
      <w:r>
        <w:rPr>
          <w:color w:val="auto"/>
          <w:highlight w:val="none"/>
        </w:rPr>
        <w:t>力资源社会保障</w:t>
      </w:r>
      <w:r>
        <w:rPr>
          <w:rFonts w:hint="eastAsia"/>
          <w:color w:val="auto"/>
          <w:highlight w:val="none"/>
        </w:rPr>
        <w:t>行政部门和上级社保机构报送居民养老保险基金要情。</w:t>
      </w:r>
    </w:p>
    <w:p w14:paraId="532276E7">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center"/>
        <w:textAlignment w:val="auto"/>
        <w:rPr>
          <w:rFonts w:hint="eastAsia" w:ascii="黑体" w:hAnsi="黑体" w:eastAsia="黑体" w:cs="黑体"/>
          <w:color w:val="auto"/>
          <w:kern w:val="0"/>
          <w:szCs w:val="32"/>
          <w:highlight w:val="none"/>
        </w:rPr>
      </w:pPr>
    </w:p>
    <w:p w14:paraId="3F0C98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Cs w:val="32"/>
          <w:highlight w:val="none"/>
        </w:rPr>
      </w:pPr>
      <w:r>
        <w:rPr>
          <w:rFonts w:hint="eastAsia" w:ascii="黑体" w:hAnsi="黑体" w:eastAsia="黑体" w:cs="黑体"/>
          <w:color w:val="auto"/>
          <w:kern w:val="0"/>
          <w:szCs w:val="32"/>
          <w:highlight w:val="none"/>
        </w:rPr>
        <w:t>第十四章  宣传咨询</w:t>
      </w:r>
    </w:p>
    <w:p w14:paraId="78AA621B">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center"/>
        <w:textAlignment w:val="auto"/>
        <w:rPr>
          <w:rFonts w:ascii="黑体" w:hAnsi="黑体" w:eastAsia="黑体" w:cs="黑体"/>
          <w:color w:val="auto"/>
          <w:kern w:val="0"/>
          <w:szCs w:val="32"/>
          <w:highlight w:val="none"/>
        </w:rPr>
      </w:pPr>
    </w:p>
    <w:p w14:paraId="58721B1B">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黑体" w:hAnsi="黑体" w:eastAsia="黑体" w:cs="黑体"/>
          <w:color w:val="auto"/>
          <w:kern w:val="0"/>
          <w:szCs w:val="32"/>
          <w:highlight w:val="none"/>
        </w:rPr>
        <w:t>第一百条</w:t>
      </w:r>
      <w:r>
        <w:rPr>
          <w:rFonts w:hint="eastAsia" w:hAnsi="仿宋_GB2312" w:cs="仿宋_GB2312"/>
          <w:color w:val="auto"/>
          <w:kern w:val="0"/>
          <w:szCs w:val="32"/>
          <w:highlight w:val="none"/>
        </w:rPr>
        <w:t xml:space="preserve"> </w:t>
      </w:r>
      <w:r>
        <w:rPr>
          <w:rFonts w:hint="eastAsia" w:ascii="仿宋_GB2312" w:hAnsi="仿宋_GB2312" w:eastAsia="仿宋_GB2312" w:cs="仿宋_GB2312"/>
          <w:color w:val="auto"/>
          <w:kern w:val="0"/>
          <w:szCs w:val="32"/>
          <w:highlight w:val="none"/>
          <w:lang w:val="en-US" w:eastAsia="zh-CN"/>
        </w:rPr>
        <w:t xml:space="preserve"> </w:t>
      </w:r>
      <w:r>
        <w:rPr>
          <w:rFonts w:hint="eastAsia" w:ascii="仿宋_GB2312" w:hAnsi="仿宋_GB2312" w:eastAsia="仿宋_GB2312" w:cs="仿宋_GB2312"/>
          <w:color w:val="auto"/>
          <w:kern w:val="0"/>
          <w:szCs w:val="32"/>
          <w:highlight w:val="none"/>
        </w:rPr>
        <w:t>社保机构和税务部门应</w:t>
      </w:r>
      <w:r>
        <w:rPr>
          <w:rFonts w:hint="eastAsia" w:ascii="仿宋_GB2312" w:hAnsi="仿宋_GB2312" w:eastAsia="仿宋_GB2312" w:cs="仿宋_GB2312"/>
          <w:color w:val="auto"/>
          <w:kern w:val="0"/>
          <w:szCs w:val="32"/>
          <w:highlight w:val="none"/>
          <w:lang w:val="en-US" w:eastAsia="zh-CN"/>
        </w:rPr>
        <w:t>当</w:t>
      </w:r>
      <w:r>
        <w:rPr>
          <w:rFonts w:hint="eastAsia" w:ascii="仿宋_GB2312" w:hAnsi="仿宋_GB2312" w:eastAsia="仿宋_GB2312" w:cs="仿宋_GB2312"/>
          <w:color w:val="auto"/>
          <w:kern w:val="0"/>
          <w:szCs w:val="32"/>
          <w:highlight w:val="none"/>
        </w:rPr>
        <w:t>通过新闻媒体、印发宣传手册等手段，采取通俗易懂、灵活多样的方式，有针对性地向居民宣传居民养老保险政策及业务办理流程。</w:t>
      </w:r>
    </w:p>
    <w:p w14:paraId="10D72F43">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auto"/>
          <w:kern w:val="0"/>
          <w:szCs w:val="32"/>
          <w:highlight w:val="none"/>
        </w:rPr>
      </w:pPr>
      <w:r>
        <w:rPr>
          <w:rFonts w:hint="eastAsia" w:ascii="黑体" w:hAnsi="黑体" w:eastAsia="黑体" w:cs="黑体"/>
          <w:color w:val="auto"/>
          <w:kern w:val="0"/>
          <w:szCs w:val="32"/>
          <w:highlight w:val="none"/>
        </w:rPr>
        <w:t>第一百零一条</w:t>
      </w:r>
      <w:r>
        <w:rPr>
          <w:rFonts w:hint="eastAsia" w:hAnsi="仿宋_GB2312" w:cs="仿宋_GB2312"/>
          <w:color w:val="auto"/>
          <w:kern w:val="0"/>
          <w:szCs w:val="32"/>
          <w:highlight w:val="none"/>
        </w:rPr>
        <w:t xml:space="preserve"> </w:t>
      </w:r>
      <w:r>
        <w:rPr>
          <w:rFonts w:hint="eastAsia" w:hAnsi="仿宋_GB2312" w:cs="仿宋_GB2312"/>
          <w:color w:val="auto"/>
          <w:kern w:val="0"/>
          <w:szCs w:val="32"/>
          <w:highlight w:val="none"/>
          <w:lang w:val="en-US" w:eastAsia="zh-CN"/>
        </w:rPr>
        <w:t xml:space="preserve"> </w:t>
      </w:r>
      <w:r>
        <w:rPr>
          <w:rFonts w:hint="eastAsia" w:ascii="仿宋_GB2312" w:hAnsi="仿宋_GB2312" w:eastAsia="仿宋_GB2312" w:cs="仿宋_GB2312"/>
          <w:color w:val="auto"/>
          <w:kern w:val="0"/>
          <w:szCs w:val="32"/>
          <w:highlight w:val="none"/>
        </w:rPr>
        <w:t>社保机构、税务部门和乡镇（街道）服务中心应</w:t>
      </w:r>
      <w:r>
        <w:rPr>
          <w:rFonts w:hint="eastAsia" w:ascii="仿宋_GB2312" w:hAnsi="仿宋_GB2312" w:eastAsia="仿宋_GB2312" w:cs="仿宋_GB2312"/>
          <w:color w:val="auto"/>
          <w:kern w:val="0"/>
          <w:szCs w:val="32"/>
          <w:highlight w:val="none"/>
          <w:lang w:val="en-US" w:eastAsia="zh-CN"/>
        </w:rPr>
        <w:t>当</w:t>
      </w:r>
      <w:r>
        <w:rPr>
          <w:rFonts w:hint="eastAsia" w:ascii="仿宋_GB2312" w:hAnsi="仿宋_GB2312" w:eastAsia="仿宋_GB2312" w:cs="仿宋_GB2312"/>
          <w:color w:val="auto"/>
          <w:kern w:val="0"/>
          <w:szCs w:val="32"/>
          <w:highlight w:val="none"/>
        </w:rPr>
        <w:t>积极开展居民养老保险政策咨询服务活动。实行首问负责制，及时受理咨询。</w:t>
      </w:r>
    </w:p>
    <w:p w14:paraId="66905E9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color w:val="auto"/>
          <w:highlight w:val="none"/>
        </w:rPr>
      </w:pPr>
    </w:p>
    <w:p w14:paraId="40F49525">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color w:val="auto"/>
          <w:highlight w:val="none"/>
        </w:rPr>
      </w:pPr>
      <w:r>
        <w:rPr>
          <w:rFonts w:hint="eastAsia" w:ascii="黑体" w:hAnsi="黑体" w:eastAsia="黑体" w:cs="黑体"/>
          <w:color w:val="auto"/>
          <w:highlight w:val="none"/>
        </w:rPr>
        <w:t>第十五章  附</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则</w:t>
      </w:r>
    </w:p>
    <w:p w14:paraId="3B1006F6">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center"/>
        <w:textAlignment w:val="auto"/>
        <w:rPr>
          <w:rFonts w:ascii="黑体" w:hAnsi="黑体" w:eastAsia="黑体" w:cs="黑体"/>
          <w:color w:val="auto"/>
          <w:highlight w:val="none"/>
        </w:rPr>
      </w:pPr>
    </w:p>
    <w:p w14:paraId="51113DBB">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第一百零二条  </w:t>
      </w:r>
      <w:r>
        <w:rPr>
          <w:rFonts w:hint="eastAsia"/>
          <w:color w:val="auto"/>
          <w:highlight w:val="none"/>
        </w:rPr>
        <w:t>本规程所称有效身份证件，包括居民身份证、社会保障卡、港澳台居民居住证、外国人居留证</w:t>
      </w:r>
      <w:r>
        <w:rPr>
          <w:rFonts w:hint="eastAsia"/>
          <w:color w:val="auto"/>
          <w:highlight w:val="none"/>
          <w:lang w:eastAsia="zh-CN"/>
        </w:rPr>
        <w:t>（</w:t>
      </w:r>
      <w:r>
        <w:rPr>
          <w:rFonts w:hint="eastAsia"/>
          <w:color w:val="auto"/>
          <w:highlight w:val="none"/>
          <w:lang w:val="en-US" w:eastAsia="zh-CN"/>
        </w:rPr>
        <w:t>外国人永久居留身份证</w:t>
      </w:r>
      <w:r>
        <w:rPr>
          <w:rFonts w:hint="eastAsia"/>
          <w:color w:val="auto"/>
          <w:highlight w:val="none"/>
          <w:lang w:eastAsia="zh-CN"/>
        </w:rPr>
        <w:t>）</w:t>
      </w:r>
      <w:r>
        <w:rPr>
          <w:rFonts w:hint="eastAsia"/>
          <w:color w:val="auto"/>
          <w:highlight w:val="none"/>
        </w:rPr>
        <w:t>、外国人护照等有效身份证件。</w:t>
      </w:r>
    </w:p>
    <w:p w14:paraId="382C86D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ascii="黑体" w:hAnsi="黑体" w:eastAsia="黑体" w:cs="黑体"/>
          <w:color w:val="auto"/>
          <w:highlight w:val="none"/>
        </w:rPr>
        <w:t xml:space="preserve">第一百零三条  </w:t>
      </w:r>
      <w:r>
        <w:rPr>
          <w:color w:val="auto"/>
          <w:highlight w:val="none"/>
        </w:rPr>
        <w:t>居民养老保险与</w:t>
      </w:r>
      <w:r>
        <w:rPr>
          <w:rFonts w:hint="eastAsia"/>
          <w:color w:val="auto"/>
          <w:highlight w:val="none"/>
          <w:lang w:val="en-US" w:eastAsia="zh-CN"/>
        </w:rPr>
        <w:t>企业职工</w:t>
      </w:r>
      <w:r>
        <w:rPr>
          <w:color w:val="auto"/>
          <w:highlight w:val="none"/>
        </w:rPr>
        <w:t>基本养老保险制度衔接业务经办工作，参照</w:t>
      </w:r>
      <w:r>
        <w:rPr>
          <w:rFonts w:hint="eastAsia"/>
          <w:color w:val="auto"/>
          <w:highlight w:val="none"/>
          <w:lang w:eastAsia="zh-CN"/>
        </w:rPr>
        <w:t>《</w:t>
      </w:r>
      <w:r>
        <w:rPr>
          <w:rFonts w:hint="eastAsia"/>
          <w:color w:val="auto"/>
          <w:highlight w:val="none"/>
          <w:lang w:val="en-US" w:eastAsia="zh-CN"/>
        </w:rPr>
        <w:t>城乡养老保险制度衔接经办规程（试行）</w:t>
      </w:r>
      <w:r>
        <w:rPr>
          <w:rFonts w:hint="eastAsia"/>
          <w:color w:val="auto"/>
          <w:highlight w:val="none"/>
          <w:lang w:eastAsia="zh-CN"/>
        </w:rPr>
        <w:t>》（</w:t>
      </w:r>
      <w:r>
        <w:rPr>
          <w:rFonts w:hint="eastAsia"/>
          <w:color w:val="auto"/>
          <w:highlight w:val="none"/>
          <w:lang w:val="en-US" w:eastAsia="zh-CN"/>
        </w:rPr>
        <w:t>人社厅发</w:t>
      </w:r>
      <w:r>
        <w:rPr>
          <w:rFonts w:hint="eastAsia" w:cs="仿宋_GB2312"/>
          <w:color w:val="auto"/>
          <w:highlight w:val="none"/>
          <w:lang w:val="en-US" w:eastAsia="zh-CN"/>
        </w:rPr>
        <w:t>〔</w:t>
      </w:r>
      <w:r>
        <w:rPr>
          <w:rFonts w:hint="eastAsia" w:ascii="仿宋_GB2312" w:hAnsi="仿宋_GB2312" w:eastAsia="仿宋_GB2312" w:cs="仿宋_GB2312"/>
          <w:color w:val="auto"/>
          <w:highlight w:val="none"/>
          <w:lang w:val="en-US" w:eastAsia="zh-CN"/>
        </w:rPr>
        <w:t>2014</w:t>
      </w:r>
      <w:r>
        <w:rPr>
          <w:rFonts w:hint="eastAsia" w:cs="仿宋_GB2312"/>
          <w:color w:val="auto"/>
          <w:highlight w:val="none"/>
          <w:lang w:val="en-US" w:eastAsia="zh-CN"/>
        </w:rPr>
        <w:t>〕</w:t>
      </w:r>
      <w:r>
        <w:rPr>
          <w:rFonts w:hint="eastAsia" w:ascii="仿宋_GB2312" w:hAnsi="仿宋_GB2312" w:eastAsia="仿宋_GB2312" w:cs="仿宋_GB2312"/>
          <w:color w:val="auto"/>
          <w:highlight w:val="none"/>
          <w:lang w:val="en-US" w:eastAsia="zh-CN"/>
        </w:rPr>
        <w:t>25号</w:t>
      </w:r>
      <w:r>
        <w:rPr>
          <w:rFonts w:hint="eastAsia"/>
          <w:color w:val="auto"/>
          <w:highlight w:val="none"/>
          <w:lang w:eastAsia="zh-CN"/>
        </w:rPr>
        <w:t>）、</w:t>
      </w:r>
      <w:r>
        <w:rPr>
          <w:color w:val="auto"/>
          <w:highlight w:val="none"/>
        </w:rPr>
        <w:t>《</w:t>
      </w:r>
      <w:r>
        <w:rPr>
          <w:rFonts w:hint="eastAsia"/>
          <w:color w:val="auto"/>
          <w:highlight w:val="none"/>
          <w:lang w:val="en-US" w:eastAsia="zh-CN"/>
        </w:rPr>
        <w:t>山东省人力资源和社会保障厅 山东省财政厅 国家税务总局山东省税务局 国家税务总局青岛市税务局关于进一步规范居民基本养老保险有关政策的通知</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鲁人社发</w:t>
      </w:r>
      <w:r>
        <w:rPr>
          <w:rFonts w:hint="eastAsia" w:cs="仿宋_GB2312"/>
          <w:color w:val="auto"/>
          <w:highlight w:val="none"/>
          <w:lang w:val="en-US" w:eastAsia="zh-CN"/>
        </w:rPr>
        <w:t>〔</w:t>
      </w:r>
      <w:r>
        <w:rPr>
          <w:rFonts w:hint="eastAsia" w:ascii="仿宋_GB2312" w:hAnsi="仿宋_GB2312" w:eastAsia="仿宋_GB2312" w:cs="仿宋_GB2312"/>
          <w:color w:val="auto"/>
          <w:highlight w:val="none"/>
          <w:lang w:val="en-US" w:eastAsia="zh-CN"/>
        </w:rPr>
        <w:t>2023</w:t>
      </w:r>
      <w:r>
        <w:rPr>
          <w:rFonts w:hint="eastAsia" w:cs="仿宋_GB2312"/>
          <w:color w:val="auto"/>
          <w:highlight w:val="none"/>
          <w:lang w:val="en-US" w:eastAsia="zh-CN"/>
        </w:rPr>
        <w:t>〕</w:t>
      </w:r>
      <w:r>
        <w:rPr>
          <w:rFonts w:hint="eastAsia" w:ascii="仿宋_GB2312" w:hAnsi="仿宋_GB2312" w:eastAsia="仿宋_GB2312" w:cs="仿宋_GB2312"/>
          <w:color w:val="auto"/>
          <w:highlight w:val="none"/>
          <w:lang w:val="en-US" w:eastAsia="zh-CN"/>
        </w:rPr>
        <w:t>19号</w:t>
      </w:r>
      <w:r>
        <w:rPr>
          <w:rFonts w:hint="eastAsia"/>
          <w:color w:val="auto"/>
          <w:highlight w:val="none"/>
          <w:lang w:eastAsia="zh-CN"/>
        </w:rPr>
        <w:t>）</w:t>
      </w:r>
      <w:r>
        <w:rPr>
          <w:rFonts w:hint="eastAsia"/>
          <w:color w:val="auto"/>
          <w:highlight w:val="none"/>
        </w:rPr>
        <w:t>执行。</w:t>
      </w:r>
    </w:p>
    <w:p w14:paraId="14827FA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highlight w:val="none"/>
        </w:rPr>
      </w:pPr>
      <w:r>
        <w:rPr>
          <w:rFonts w:hint="eastAsia"/>
          <w:color w:val="auto"/>
          <w:highlight w:val="none"/>
        </w:rPr>
        <w:t>本规程由省</w:t>
      </w:r>
      <w:r>
        <w:rPr>
          <w:rFonts w:hint="eastAsia"/>
          <w:color w:val="auto"/>
          <w:highlight w:val="none"/>
          <w:lang w:val="en-US" w:eastAsia="zh-CN"/>
        </w:rPr>
        <w:t>级</w:t>
      </w:r>
      <w:r>
        <w:rPr>
          <w:rFonts w:hint="eastAsia"/>
          <w:color w:val="auto"/>
          <w:highlight w:val="none"/>
        </w:rPr>
        <w:t>人力资源社会保障</w:t>
      </w:r>
      <w:r>
        <w:rPr>
          <w:rFonts w:hint="eastAsia"/>
          <w:color w:val="auto"/>
          <w:highlight w:val="none"/>
          <w:lang w:val="en-US" w:eastAsia="zh-CN"/>
        </w:rPr>
        <w:t>和税务部门</w:t>
      </w:r>
      <w:r>
        <w:rPr>
          <w:rFonts w:hint="eastAsia"/>
          <w:color w:val="auto"/>
          <w:highlight w:val="none"/>
        </w:rPr>
        <w:t>负责解释。国家和省出台新规定的，从其规定。</w:t>
      </w:r>
    </w:p>
    <w:p w14:paraId="3C609AB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color w:val="auto"/>
          <w:highlight w:val="none"/>
        </w:rPr>
      </w:pPr>
      <w:r>
        <w:rPr>
          <w:rFonts w:hint="eastAsia"/>
          <w:color w:val="auto"/>
          <w:highlight w:val="none"/>
        </w:rPr>
        <w:t>本规程</w:t>
      </w:r>
      <w:r>
        <w:rPr>
          <w:rFonts w:hint="eastAsia"/>
          <w:color w:val="auto"/>
          <w:highlight w:val="none"/>
          <w:lang w:val="en-US" w:eastAsia="zh-CN"/>
        </w:rPr>
        <w:t>自</w:t>
      </w:r>
      <w:r>
        <w:rPr>
          <w:rFonts w:hint="eastAsia"/>
          <w:color w:val="auto"/>
          <w:highlight w:val="none"/>
        </w:rPr>
        <w:t>2024年1月1日起实施。</w:t>
      </w:r>
    </w:p>
    <w:p w14:paraId="1E609A1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rFonts w:hint="eastAsia"/>
          <w:color w:val="auto"/>
          <w:highlight w:val="none"/>
        </w:rPr>
      </w:pPr>
    </w:p>
    <w:p w14:paraId="42ABAEC4">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both"/>
        <w:textAlignment w:val="auto"/>
        <w:rPr>
          <w:color w:val="auto"/>
          <w:spacing w:val="-6"/>
          <w:highlight w:val="none"/>
        </w:rPr>
      </w:pPr>
      <w:r>
        <w:rPr>
          <w:rFonts w:hint="eastAsia"/>
          <w:color w:val="auto"/>
          <w:highlight w:val="none"/>
        </w:rPr>
        <w:t>附件：</w:t>
      </w:r>
      <w:r>
        <w:rPr>
          <w:rFonts w:hint="eastAsia"/>
          <w:color w:val="auto"/>
          <w:spacing w:val="-6"/>
          <w:highlight w:val="none"/>
        </w:rPr>
        <w:t>1.居民基本养老保险参保登记表</w:t>
      </w:r>
    </w:p>
    <w:p w14:paraId="554C951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2.居民基本养老保险集体补助和其他资助申请表</w:t>
      </w:r>
    </w:p>
    <w:p w14:paraId="4E6149A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3.</w:t>
      </w:r>
      <w:r>
        <w:rPr>
          <w:rFonts w:hint="eastAsia" w:ascii="仿宋_GB2312" w:hAnsi="仿宋_GB2312" w:eastAsia="仿宋_GB2312" w:cs="仿宋_GB2312"/>
          <w:color w:val="auto"/>
          <w:spacing w:val="-6"/>
          <w:kern w:val="0"/>
          <w:sz w:val="32"/>
          <w:szCs w:val="32"/>
          <w:highlight w:val="none"/>
        </w:rPr>
        <w:t>被征地农民</w:t>
      </w:r>
      <w:r>
        <w:rPr>
          <w:rFonts w:hint="eastAsia" w:ascii="仿宋_GB2312" w:hAnsi="仿宋_GB2312" w:eastAsia="仿宋_GB2312" w:cs="仿宋_GB2312"/>
          <w:color w:val="auto"/>
          <w:spacing w:val="-6"/>
          <w:kern w:val="0"/>
          <w:sz w:val="32"/>
          <w:szCs w:val="32"/>
          <w:highlight w:val="none"/>
          <w:lang w:val="en-US" w:eastAsia="zh-CN"/>
        </w:rPr>
        <w:t>参加居民基本</w:t>
      </w:r>
      <w:r>
        <w:rPr>
          <w:rFonts w:hint="eastAsia" w:ascii="仿宋_GB2312" w:hAnsi="仿宋_GB2312" w:eastAsia="仿宋_GB2312" w:cs="仿宋_GB2312"/>
          <w:color w:val="auto"/>
          <w:spacing w:val="-6"/>
          <w:kern w:val="0"/>
          <w:sz w:val="32"/>
          <w:szCs w:val="32"/>
          <w:highlight w:val="none"/>
        </w:rPr>
        <w:t>养老</w:t>
      </w:r>
      <w:r>
        <w:rPr>
          <w:rFonts w:hint="eastAsia" w:ascii="仿宋_GB2312" w:hAnsi="仿宋_GB2312" w:eastAsia="仿宋_GB2312" w:cs="仿宋_GB2312"/>
          <w:color w:val="auto"/>
          <w:spacing w:val="-6"/>
          <w:kern w:val="0"/>
          <w:sz w:val="32"/>
          <w:szCs w:val="32"/>
          <w:highlight w:val="none"/>
          <w:lang w:eastAsia="zh-CN"/>
        </w:rPr>
        <w:t>保险参保</w:t>
      </w:r>
      <w:r>
        <w:rPr>
          <w:rFonts w:hint="eastAsia" w:ascii="仿宋_GB2312" w:hAnsi="仿宋_GB2312" w:eastAsia="仿宋_GB2312" w:cs="仿宋_GB2312"/>
          <w:color w:val="auto"/>
          <w:spacing w:val="-6"/>
          <w:kern w:val="0"/>
          <w:sz w:val="32"/>
          <w:szCs w:val="32"/>
          <w:highlight w:val="none"/>
          <w:lang w:val="en-US" w:eastAsia="zh-CN"/>
        </w:rPr>
        <w:t>缴费</w:t>
      </w:r>
      <w:r>
        <w:rPr>
          <w:rFonts w:hint="eastAsia" w:ascii="仿宋_GB2312" w:hAnsi="仿宋_GB2312" w:eastAsia="仿宋_GB2312" w:cs="仿宋_GB2312"/>
          <w:color w:val="auto"/>
          <w:spacing w:val="-6"/>
          <w:kern w:val="0"/>
          <w:sz w:val="32"/>
          <w:szCs w:val="32"/>
          <w:highlight w:val="none"/>
          <w:lang w:eastAsia="zh-CN"/>
        </w:rPr>
        <w:t>明细表</w:t>
      </w:r>
    </w:p>
    <w:p w14:paraId="2202D2F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4.被征地农民政府补贴资金一次性支付汇总表</w:t>
      </w:r>
    </w:p>
    <w:p w14:paraId="610AEBB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5.居民基本养老保险费补缴申请表</w:t>
      </w:r>
    </w:p>
    <w:p w14:paraId="4F1BFD7A">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6.居民基本养老保险个人账户对账单</w:t>
      </w:r>
    </w:p>
    <w:p w14:paraId="7634DD0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7.居民基本养老保险缴费信息和待遇享受告知书</w:t>
      </w:r>
    </w:p>
    <w:p w14:paraId="069E0BF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8.居民基本养老保险待遇核定表</w:t>
      </w:r>
    </w:p>
    <w:p w14:paraId="2F9519E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9.居民基本养老保险基金支付审批表</w:t>
      </w:r>
    </w:p>
    <w:p w14:paraId="6B20577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10.居民基本养老保险基金支付汇总表</w:t>
      </w:r>
    </w:p>
    <w:p w14:paraId="281AC082">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11.居民基本养老保险注销登记表</w:t>
      </w:r>
    </w:p>
    <w:p w14:paraId="2A2C1215">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12.居民基本养老保险关系跨省转入申请表</w:t>
      </w:r>
    </w:p>
    <w:p w14:paraId="09A9288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13.居民基本养老保险关系跨省转入接收函</w:t>
      </w:r>
    </w:p>
    <w:p w14:paraId="16FE2B81">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color w:val="auto"/>
          <w:spacing w:val="-6"/>
          <w:highlight w:val="none"/>
        </w:rPr>
      </w:pPr>
      <w:r>
        <w:rPr>
          <w:rFonts w:hint="eastAsia"/>
          <w:color w:val="auto"/>
          <w:spacing w:val="-6"/>
          <w:highlight w:val="none"/>
        </w:rPr>
        <w:t>14.居民基本养老保险关系跨省转出审批表</w:t>
      </w:r>
    </w:p>
    <w:p w14:paraId="05B3054E">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578" w:firstLineChars="519"/>
        <w:jc w:val="both"/>
        <w:textAlignment w:val="auto"/>
        <w:rPr>
          <w:rFonts w:hint="eastAsia"/>
          <w:color w:val="auto"/>
          <w:spacing w:val="-6"/>
          <w:highlight w:val="none"/>
        </w:rPr>
      </w:pPr>
      <w:r>
        <w:rPr>
          <w:rFonts w:hint="eastAsia"/>
          <w:color w:val="auto"/>
          <w:spacing w:val="-6"/>
          <w:highlight w:val="none"/>
        </w:rPr>
        <w:t>15.居民基本养老保险</w:t>
      </w:r>
      <w:r>
        <w:rPr>
          <w:rFonts w:hint="eastAsia"/>
          <w:color w:val="auto"/>
          <w:spacing w:val="-6"/>
          <w:highlight w:val="none"/>
          <w:lang w:eastAsia="zh-CN"/>
        </w:rPr>
        <w:t>个人</w:t>
      </w:r>
      <w:r>
        <w:rPr>
          <w:rFonts w:hint="eastAsia"/>
          <w:color w:val="auto"/>
          <w:spacing w:val="-6"/>
          <w:highlight w:val="none"/>
        </w:rPr>
        <w:t>账户归集信息表</w:t>
      </w:r>
    </w:p>
    <w:p w14:paraId="7877623F">
      <w:pPr>
        <w:pStyle w:val="19"/>
        <w:numPr>
          <w:ilvl w:val="0"/>
          <w:numId w:val="0"/>
        </w:numPr>
        <w:spacing w:line="560" w:lineRule="exact"/>
        <w:rPr>
          <w:rFonts w:hint="eastAsia" w:hAnsi="仿宋_GB2312" w:cs="仿宋_GB2312"/>
          <w:color w:val="auto"/>
          <w:szCs w:val="32"/>
          <w:highlight w:val="none"/>
        </w:rPr>
      </w:pPr>
    </w:p>
    <w:p w14:paraId="243F4B89">
      <w:pPr>
        <w:widowControl/>
        <w:jc w:val="left"/>
        <w:textAlignment w:val="center"/>
        <w:rPr>
          <w:rFonts w:ascii="宋体" w:hAnsi="宋体" w:cs="宋体"/>
          <w:b/>
          <w:color w:val="auto"/>
          <w:kern w:val="0"/>
          <w:sz w:val="20"/>
          <w:szCs w:val="20"/>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14:paraId="75C4796B">
      <w:pPr>
        <w:spacing w:line="220" w:lineRule="atLeast"/>
        <w:rPr>
          <w:rFonts w:ascii="黑体" w:hAnsi="黑体" w:eastAsia="黑体" w:cs="黑体"/>
          <w:color w:val="auto"/>
          <w:sz w:val="32"/>
          <w:szCs w:val="32"/>
        </w:rPr>
      </w:pPr>
      <w:r>
        <w:rPr>
          <w:rFonts w:hint="eastAsia" w:ascii="黑体" w:hAnsi="黑体" w:eastAsia="黑体" w:cs="黑体"/>
          <w:color w:val="auto"/>
          <w:sz w:val="32"/>
          <w:szCs w:val="32"/>
        </w:rPr>
        <w:t>附件1</w:t>
      </w:r>
    </w:p>
    <w:p w14:paraId="1FFE7E5E">
      <w:pPr>
        <w:pStyle w:val="2"/>
        <w:rPr>
          <w:color w:val="auto"/>
        </w:rPr>
      </w:pPr>
    </w:p>
    <w:tbl>
      <w:tblPr>
        <w:tblStyle w:val="8"/>
        <w:tblW w:w="8806" w:type="dxa"/>
        <w:tblInd w:w="0" w:type="dxa"/>
        <w:tblLayout w:type="fixed"/>
        <w:tblCellMar>
          <w:top w:w="0" w:type="dxa"/>
          <w:left w:w="108" w:type="dxa"/>
          <w:bottom w:w="0" w:type="dxa"/>
          <w:right w:w="108" w:type="dxa"/>
        </w:tblCellMar>
      </w:tblPr>
      <w:tblGrid>
        <w:gridCol w:w="2093"/>
        <w:gridCol w:w="1314"/>
        <w:gridCol w:w="822"/>
        <w:gridCol w:w="1681"/>
        <w:gridCol w:w="876"/>
        <w:gridCol w:w="2020"/>
      </w:tblGrid>
      <w:tr w14:paraId="3562F98A">
        <w:tblPrEx>
          <w:tblCellMar>
            <w:top w:w="0" w:type="dxa"/>
            <w:left w:w="108" w:type="dxa"/>
            <w:bottom w:w="0" w:type="dxa"/>
            <w:right w:w="108" w:type="dxa"/>
          </w:tblCellMar>
        </w:tblPrEx>
        <w:trPr>
          <w:trHeight w:val="725" w:hRule="atLeast"/>
        </w:trPr>
        <w:tc>
          <w:tcPr>
            <w:tcW w:w="8806" w:type="dxa"/>
            <w:gridSpan w:val="6"/>
            <w:tcBorders>
              <w:top w:val="nil"/>
              <w:left w:val="nil"/>
              <w:bottom w:val="nil"/>
              <w:right w:val="nil"/>
            </w:tcBorders>
            <w:vAlign w:val="center"/>
          </w:tcPr>
          <w:p w14:paraId="77FEFD9B">
            <w:pPr>
              <w:widowControl/>
              <w:jc w:val="center"/>
              <w:textAlignment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居民基本养老保险参保登记表</w:t>
            </w:r>
          </w:p>
        </w:tc>
      </w:tr>
      <w:tr w14:paraId="7DBFE661">
        <w:tblPrEx>
          <w:tblCellMar>
            <w:top w:w="0" w:type="dxa"/>
            <w:left w:w="108" w:type="dxa"/>
            <w:bottom w:w="0" w:type="dxa"/>
            <w:right w:w="108" w:type="dxa"/>
          </w:tblCellMar>
        </w:tblPrEx>
        <w:trPr>
          <w:trHeight w:val="363" w:hRule="atLeast"/>
        </w:trPr>
        <w:tc>
          <w:tcPr>
            <w:tcW w:w="8806" w:type="dxa"/>
            <w:gridSpan w:val="6"/>
            <w:tcBorders>
              <w:top w:val="nil"/>
              <w:left w:val="nil"/>
              <w:bottom w:val="nil"/>
              <w:right w:val="nil"/>
            </w:tcBorders>
            <w:vAlign w:val="center"/>
          </w:tcPr>
          <w:p w14:paraId="1A91C2B3">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所属村（居）委会:                         填表日期:     年      月     日</w:t>
            </w:r>
          </w:p>
        </w:tc>
      </w:tr>
      <w:tr w14:paraId="23D03753">
        <w:tblPrEx>
          <w:tblCellMar>
            <w:top w:w="0" w:type="dxa"/>
            <w:left w:w="108" w:type="dxa"/>
            <w:bottom w:w="0" w:type="dxa"/>
            <w:right w:w="108" w:type="dxa"/>
          </w:tblCellMar>
        </w:tblPrEx>
        <w:trPr>
          <w:trHeight w:val="557" w:hRule="atLeast"/>
        </w:trPr>
        <w:tc>
          <w:tcPr>
            <w:tcW w:w="8806" w:type="dxa"/>
            <w:gridSpan w:val="6"/>
            <w:tcBorders>
              <w:top w:val="single" w:color="000000" w:sz="4" w:space="0"/>
              <w:left w:val="single" w:color="000000" w:sz="4" w:space="0"/>
              <w:bottom w:val="single" w:color="000000" w:sz="4" w:space="0"/>
              <w:right w:val="single" w:color="000000" w:sz="4" w:space="0"/>
            </w:tcBorders>
            <w:vAlign w:val="center"/>
          </w:tcPr>
          <w:p w14:paraId="58A4C4A1">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业务类型：     □参保登记      □变更登记</w:t>
            </w:r>
          </w:p>
        </w:tc>
      </w:tr>
      <w:tr w14:paraId="044773E4">
        <w:tblPrEx>
          <w:tblCellMar>
            <w:top w:w="0" w:type="dxa"/>
            <w:left w:w="108" w:type="dxa"/>
            <w:bottom w:w="0" w:type="dxa"/>
            <w:right w:w="108" w:type="dxa"/>
          </w:tblCellMar>
        </w:tblPrEx>
        <w:trPr>
          <w:trHeight w:val="511"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2A40E934">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*姓  名</w:t>
            </w:r>
          </w:p>
        </w:tc>
        <w:tc>
          <w:tcPr>
            <w:tcW w:w="1314" w:type="dxa"/>
            <w:tcBorders>
              <w:top w:val="single" w:color="000000" w:sz="4" w:space="0"/>
              <w:left w:val="single" w:color="000000" w:sz="4" w:space="0"/>
              <w:bottom w:val="single" w:color="000000" w:sz="4" w:space="0"/>
              <w:right w:val="single" w:color="000000" w:sz="4" w:space="0"/>
            </w:tcBorders>
            <w:vAlign w:val="center"/>
          </w:tcPr>
          <w:p w14:paraId="395949BA">
            <w:pPr>
              <w:jc w:val="center"/>
              <w:rPr>
                <w:rFonts w:asciiTheme="minorEastAsia" w:hAnsiTheme="minorEastAsia" w:eastAsiaTheme="minorEastAsia" w:cstheme="minorEastAsia"/>
                <w:color w:val="auto"/>
                <w:sz w:val="21"/>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55413250">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性 别</w:t>
            </w:r>
          </w:p>
        </w:tc>
        <w:tc>
          <w:tcPr>
            <w:tcW w:w="1681" w:type="dxa"/>
            <w:tcBorders>
              <w:top w:val="single" w:color="000000" w:sz="4" w:space="0"/>
              <w:left w:val="single" w:color="000000" w:sz="4" w:space="0"/>
              <w:bottom w:val="single" w:color="000000" w:sz="4" w:space="0"/>
              <w:right w:val="single" w:color="000000" w:sz="4" w:space="0"/>
            </w:tcBorders>
            <w:vAlign w:val="center"/>
          </w:tcPr>
          <w:p w14:paraId="3BB8591C">
            <w:pPr>
              <w:jc w:val="center"/>
              <w:rPr>
                <w:rFonts w:asciiTheme="minorEastAsia" w:hAnsiTheme="minorEastAsia" w:eastAsiaTheme="minorEastAsia" w:cstheme="minorEastAsia"/>
                <w:color w:val="auto"/>
                <w:sz w:val="21"/>
                <w:szCs w:val="21"/>
              </w:rPr>
            </w:pPr>
          </w:p>
        </w:tc>
        <w:tc>
          <w:tcPr>
            <w:tcW w:w="876" w:type="dxa"/>
            <w:tcBorders>
              <w:top w:val="single" w:color="000000" w:sz="4" w:space="0"/>
              <w:left w:val="single" w:color="000000" w:sz="4" w:space="0"/>
              <w:bottom w:val="nil"/>
              <w:right w:val="single" w:color="000000" w:sz="4" w:space="0"/>
            </w:tcBorders>
            <w:vAlign w:val="center"/>
          </w:tcPr>
          <w:p w14:paraId="477A55E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民族</w:t>
            </w:r>
          </w:p>
        </w:tc>
        <w:tc>
          <w:tcPr>
            <w:tcW w:w="2020" w:type="dxa"/>
            <w:tcBorders>
              <w:top w:val="single" w:color="000000" w:sz="4" w:space="0"/>
              <w:left w:val="single" w:color="000000" w:sz="4" w:space="0"/>
              <w:bottom w:val="single" w:color="000000" w:sz="4" w:space="0"/>
              <w:right w:val="single" w:color="000000" w:sz="4" w:space="0"/>
            </w:tcBorders>
            <w:vAlign w:val="center"/>
          </w:tcPr>
          <w:p w14:paraId="7CF906D4">
            <w:pPr>
              <w:rPr>
                <w:rFonts w:asciiTheme="minorEastAsia" w:hAnsiTheme="minorEastAsia" w:eastAsiaTheme="minorEastAsia" w:cstheme="minorEastAsia"/>
                <w:color w:val="auto"/>
                <w:sz w:val="21"/>
                <w:szCs w:val="21"/>
              </w:rPr>
            </w:pPr>
          </w:p>
        </w:tc>
      </w:tr>
      <w:tr w14:paraId="7DEF5E67">
        <w:tblPrEx>
          <w:tblCellMar>
            <w:top w:w="0" w:type="dxa"/>
            <w:left w:w="108" w:type="dxa"/>
            <w:bottom w:w="0" w:type="dxa"/>
            <w:right w:w="108" w:type="dxa"/>
          </w:tblCellMar>
        </w:tblPrEx>
        <w:trPr>
          <w:trHeight w:val="798"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01982621">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出生日期</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14:paraId="52D3A09D">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年   月 </w:t>
            </w:r>
          </w:p>
        </w:tc>
        <w:tc>
          <w:tcPr>
            <w:tcW w:w="1681" w:type="dxa"/>
            <w:tcBorders>
              <w:top w:val="single" w:color="000000" w:sz="4" w:space="0"/>
              <w:left w:val="single" w:color="000000" w:sz="4" w:space="0"/>
              <w:bottom w:val="single" w:color="000000" w:sz="4" w:space="0"/>
              <w:right w:val="nil"/>
            </w:tcBorders>
            <w:vAlign w:val="center"/>
          </w:tcPr>
          <w:p w14:paraId="5848698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*联系电话</w:t>
            </w:r>
          </w:p>
        </w:tc>
        <w:tc>
          <w:tcPr>
            <w:tcW w:w="2896" w:type="dxa"/>
            <w:gridSpan w:val="2"/>
            <w:tcBorders>
              <w:top w:val="single" w:color="000000" w:sz="4" w:space="0"/>
              <w:left w:val="single" w:color="000000" w:sz="4" w:space="0"/>
              <w:bottom w:val="single" w:color="000000" w:sz="4" w:space="0"/>
              <w:right w:val="single" w:color="000000" w:sz="4" w:space="0"/>
            </w:tcBorders>
            <w:vAlign w:val="center"/>
          </w:tcPr>
          <w:p w14:paraId="147CC708">
            <w:pPr>
              <w:jc w:val="center"/>
              <w:rPr>
                <w:rFonts w:asciiTheme="minorEastAsia" w:hAnsiTheme="minorEastAsia" w:eastAsiaTheme="minorEastAsia" w:cstheme="minorEastAsia"/>
                <w:color w:val="auto"/>
                <w:sz w:val="21"/>
                <w:szCs w:val="21"/>
              </w:rPr>
            </w:pPr>
          </w:p>
        </w:tc>
      </w:tr>
      <w:tr w14:paraId="2DAD964D">
        <w:tblPrEx>
          <w:tblCellMar>
            <w:top w:w="0" w:type="dxa"/>
            <w:left w:w="108" w:type="dxa"/>
            <w:bottom w:w="0" w:type="dxa"/>
            <w:right w:w="108" w:type="dxa"/>
          </w:tblCellMar>
        </w:tblPrEx>
        <w:trPr>
          <w:trHeight w:val="581"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3A04BA9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*公民身份号码</w:t>
            </w:r>
          </w:p>
        </w:tc>
        <w:tc>
          <w:tcPr>
            <w:tcW w:w="6713" w:type="dxa"/>
            <w:gridSpan w:val="5"/>
            <w:tcBorders>
              <w:top w:val="single" w:color="000000" w:sz="4" w:space="0"/>
              <w:left w:val="single" w:color="000000" w:sz="4" w:space="0"/>
              <w:bottom w:val="single" w:color="000000" w:sz="4" w:space="0"/>
              <w:right w:val="single" w:color="000000" w:sz="4" w:space="0"/>
            </w:tcBorders>
            <w:vAlign w:val="center"/>
          </w:tcPr>
          <w:p w14:paraId="45797BD1">
            <w:pPr>
              <w:jc w:val="center"/>
              <w:rPr>
                <w:rFonts w:asciiTheme="minorEastAsia" w:hAnsiTheme="minorEastAsia" w:eastAsiaTheme="minorEastAsia" w:cstheme="minorEastAsia"/>
                <w:color w:val="auto"/>
                <w:sz w:val="21"/>
                <w:szCs w:val="21"/>
              </w:rPr>
            </w:pPr>
          </w:p>
        </w:tc>
      </w:tr>
      <w:tr w14:paraId="300DE2FC">
        <w:tblPrEx>
          <w:tblCellMar>
            <w:top w:w="0" w:type="dxa"/>
            <w:left w:w="108" w:type="dxa"/>
            <w:bottom w:w="0" w:type="dxa"/>
            <w:right w:w="108" w:type="dxa"/>
          </w:tblCellMar>
        </w:tblPrEx>
        <w:trPr>
          <w:trHeight w:val="629"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440F8AD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户籍所在地址</w:t>
            </w:r>
          </w:p>
        </w:tc>
        <w:tc>
          <w:tcPr>
            <w:tcW w:w="6713" w:type="dxa"/>
            <w:gridSpan w:val="5"/>
            <w:tcBorders>
              <w:top w:val="single" w:color="000000" w:sz="4" w:space="0"/>
              <w:left w:val="single" w:color="000000" w:sz="4" w:space="0"/>
              <w:bottom w:val="single" w:color="000000" w:sz="4" w:space="0"/>
              <w:right w:val="single" w:color="000000" w:sz="4" w:space="0"/>
            </w:tcBorders>
            <w:vAlign w:val="center"/>
          </w:tcPr>
          <w:p w14:paraId="6E4F459E">
            <w:pPr>
              <w:jc w:val="center"/>
              <w:rPr>
                <w:rFonts w:asciiTheme="minorEastAsia" w:hAnsiTheme="minorEastAsia" w:eastAsiaTheme="minorEastAsia" w:cstheme="minorEastAsia"/>
                <w:color w:val="auto"/>
                <w:sz w:val="21"/>
                <w:szCs w:val="21"/>
              </w:rPr>
            </w:pPr>
          </w:p>
        </w:tc>
      </w:tr>
      <w:tr w14:paraId="0F32967F">
        <w:tblPrEx>
          <w:tblCellMar>
            <w:top w:w="0" w:type="dxa"/>
            <w:left w:w="108" w:type="dxa"/>
            <w:bottom w:w="0" w:type="dxa"/>
            <w:right w:w="108" w:type="dxa"/>
          </w:tblCellMar>
        </w:tblPrEx>
        <w:trPr>
          <w:trHeight w:val="533"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27078F3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居住地址    </w:t>
            </w:r>
          </w:p>
        </w:tc>
        <w:tc>
          <w:tcPr>
            <w:tcW w:w="3817" w:type="dxa"/>
            <w:gridSpan w:val="3"/>
            <w:tcBorders>
              <w:top w:val="single" w:color="000000" w:sz="4" w:space="0"/>
              <w:left w:val="single" w:color="000000" w:sz="4" w:space="0"/>
              <w:bottom w:val="nil"/>
              <w:right w:val="single" w:color="000000" w:sz="4" w:space="0"/>
            </w:tcBorders>
            <w:vAlign w:val="center"/>
          </w:tcPr>
          <w:p w14:paraId="2E17F449">
            <w:pPr>
              <w:jc w:val="center"/>
              <w:rPr>
                <w:rFonts w:asciiTheme="minorEastAsia" w:hAnsiTheme="minorEastAsia" w:eastAsiaTheme="minorEastAsia" w:cstheme="minorEastAsia"/>
                <w:color w:val="auto"/>
                <w:sz w:val="21"/>
                <w:szCs w:val="21"/>
              </w:rPr>
            </w:pPr>
          </w:p>
        </w:tc>
        <w:tc>
          <w:tcPr>
            <w:tcW w:w="876" w:type="dxa"/>
            <w:tcBorders>
              <w:top w:val="single" w:color="000000" w:sz="4" w:space="0"/>
              <w:left w:val="single" w:color="000000" w:sz="4" w:space="0"/>
              <w:bottom w:val="nil"/>
              <w:right w:val="single" w:color="000000" w:sz="4" w:space="0"/>
            </w:tcBorders>
            <w:vAlign w:val="center"/>
          </w:tcPr>
          <w:p w14:paraId="0C6E9AB6">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邮编</w:t>
            </w:r>
          </w:p>
        </w:tc>
        <w:tc>
          <w:tcPr>
            <w:tcW w:w="2020" w:type="dxa"/>
            <w:tcBorders>
              <w:top w:val="single" w:color="000000" w:sz="4" w:space="0"/>
              <w:left w:val="single" w:color="000000" w:sz="4" w:space="0"/>
              <w:bottom w:val="nil"/>
              <w:right w:val="single" w:color="000000" w:sz="4" w:space="0"/>
            </w:tcBorders>
            <w:vAlign w:val="center"/>
          </w:tcPr>
          <w:p w14:paraId="4CAA74BC">
            <w:pPr>
              <w:jc w:val="center"/>
              <w:rPr>
                <w:rFonts w:asciiTheme="minorEastAsia" w:hAnsiTheme="minorEastAsia" w:eastAsiaTheme="minorEastAsia" w:cstheme="minorEastAsia"/>
                <w:color w:val="auto"/>
                <w:sz w:val="21"/>
                <w:szCs w:val="21"/>
              </w:rPr>
            </w:pPr>
          </w:p>
        </w:tc>
      </w:tr>
      <w:tr w14:paraId="64813DC8">
        <w:tblPrEx>
          <w:tblCellMar>
            <w:top w:w="0" w:type="dxa"/>
            <w:left w:w="108" w:type="dxa"/>
            <w:bottom w:w="0" w:type="dxa"/>
            <w:right w:w="108" w:type="dxa"/>
          </w:tblCellMar>
        </w:tblPrEx>
        <w:trPr>
          <w:trHeight w:val="66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20152B1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*参保登记时间</w:t>
            </w:r>
          </w:p>
        </w:tc>
        <w:tc>
          <w:tcPr>
            <w:tcW w:w="6713" w:type="dxa"/>
            <w:gridSpan w:val="5"/>
            <w:tcBorders>
              <w:top w:val="single" w:color="000000" w:sz="4" w:space="0"/>
              <w:left w:val="single" w:color="000000" w:sz="4" w:space="0"/>
              <w:bottom w:val="single" w:color="000000" w:sz="4" w:space="0"/>
              <w:right w:val="single" w:color="000000" w:sz="4" w:space="0"/>
            </w:tcBorders>
            <w:vAlign w:val="center"/>
          </w:tcPr>
          <w:p w14:paraId="0F85F56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年     月    日</w:t>
            </w:r>
          </w:p>
        </w:tc>
      </w:tr>
      <w:tr w14:paraId="6F173072">
        <w:tblPrEx>
          <w:tblCellMar>
            <w:top w:w="0" w:type="dxa"/>
            <w:left w:w="108" w:type="dxa"/>
            <w:bottom w:w="0" w:type="dxa"/>
            <w:right w:w="108" w:type="dxa"/>
          </w:tblCellMar>
        </w:tblPrEx>
        <w:trPr>
          <w:trHeight w:val="375" w:hRule="atLeast"/>
        </w:trPr>
        <w:tc>
          <w:tcPr>
            <w:tcW w:w="4229" w:type="dxa"/>
            <w:gridSpan w:val="3"/>
            <w:tcBorders>
              <w:top w:val="single" w:color="000000" w:sz="4" w:space="0"/>
              <w:left w:val="single" w:color="000000" w:sz="4" w:space="0"/>
              <w:bottom w:val="nil"/>
              <w:right w:val="nil"/>
            </w:tcBorders>
            <w:shd w:val="clear" w:color="auto" w:fill="auto"/>
            <w:vAlign w:val="center"/>
          </w:tcPr>
          <w:p w14:paraId="10C2B0DF">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参保人承诺：　</w:t>
            </w:r>
          </w:p>
        </w:tc>
        <w:tc>
          <w:tcPr>
            <w:tcW w:w="4577" w:type="dxa"/>
            <w:gridSpan w:val="3"/>
            <w:tcBorders>
              <w:top w:val="single" w:color="000000" w:sz="4" w:space="0"/>
              <w:left w:val="single" w:color="000000" w:sz="4" w:space="0"/>
              <w:bottom w:val="nil"/>
              <w:right w:val="single" w:color="000000" w:sz="4" w:space="0"/>
            </w:tcBorders>
            <w:shd w:val="clear" w:color="auto" w:fill="FFFFFF"/>
            <w:vAlign w:val="center"/>
          </w:tcPr>
          <w:p w14:paraId="1191D8C1">
            <w:pPr>
              <w:widowControl/>
              <w:jc w:val="left"/>
              <w:textAlignment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p w14:paraId="32FCF2E6">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w:t>
            </w:r>
          </w:p>
        </w:tc>
      </w:tr>
      <w:tr w14:paraId="33237B25">
        <w:tblPrEx>
          <w:tblCellMar>
            <w:top w:w="0" w:type="dxa"/>
            <w:left w:w="108" w:type="dxa"/>
            <w:bottom w:w="0" w:type="dxa"/>
            <w:right w:w="108" w:type="dxa"/>
          </w:tblCellMar>
        </w:tblPrEx>
        <w:trPr>
          <w:trHeight w:val="755" w:hRule="atLeast"/>
        </w:trPr>
        <w:tc>
          <w:tcPr>
            <w:tcW w:w="4229" w:type="dxa"/>
            <w:gridSpan w:val="3"/>
            <w:tcBorders>
              <w:top w:val="nil"/>
              <w:left w:val="single" w:color="000000" w:sz="4" w:space="0"/>
              <w:bottom w:val="nil"/>
              <w:right w:val="nil"/>
            </w:tcBorders>
            <w:shd w:val="clear" w:color="auto" w:fill="FFFFFF"/>
          </w:tcPr>
          <w:p w14:paraId="1D0B205F">
            <w:pPr>
              <w:widowControl/>
              <w:jc w:val="left"/>
              <w:textAlignment w:val="top"/>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以上填写内容真实无误，如不属实，自愿承担相应的法律责任。</w:t>
            </w:r>
          </w:p>
        </w:tc>
        <w:tc>
          <w:tcPr>
            <w:tcW w:w="4577" w:type="dxa"/>
            <w:gridSpan w:val="3"/>
            <w:tcBorders>
              <w:top w:val="nil"/>
              <w:left w:val="single" w:color="000000" w:sz="4" w:space="0"/>
              <w:bottom w:val="nil"/>
              <w:right w:val="single" w:color="000000" w:sz="4" w:space="0"/>
            </w:tcBorders>
            <w:shd w:val="clear" w:color="auto" w:fill="FFFFFF"/>
            <w:vAlign w:val="center"/>
          </w:tcPr>
          <w:p w14:paraId="2B80A8EB">
            <w:pPr>
              <w:rPr>
                <w:color w:val="auto"/>
                <w:sz w:val="21"/>
                <w:szCs w:val="21"/>
              </w:rPr>
            </w:pPr>
            <w:r>
              <w:rPr>
                <w:rFonts w:hint="eastAsia"/>
                <w:color w:val="auto"/>
                <w:sz w:val="21"/>
                <w:szCs w:val="21"/>
              </w:rPr>
              <w:t>乡镇（街道）服务中心或</w:t>
            </w:r>
          </w:p>
          <w:p w14:paraId="5326BD5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县社保机构意见：</w:t>
            </w:r>
          </w:p>
        </w:tc>
      </w:tr>
      <w:tr w14:paraId="45C9F040">
        <w:tblPrEx>
          <w:tblCellMar>
            <w:top w:w="0" w:type="dxa"/>
            <w:left w:w="108" w:type="dxa"/>
            <w:bottom w:w="0" w:type="dxa"/>
            <w:right w:w="108" w:type="dxa"/>
          </w:tblCellMar>
        </w:tblPrEx>
        <w:trPr>
          <w:trHeight w:val="1453" w:hRule="atLeast"/>
        </w:trPr>
        <w:tc>
          <w:tcPr>
            <w:tcW w:w="4229" w:type="dxa"/>
            <w:gridSpan w:val="3"/>
            <w:tcBorders>
              <w:top w:val="nil"/>
              <w:left w:val="single" w:color="000000" w:sz="4" w:space="0"/>
              <w:bottom w:val="single" w:color="auto" w:sz="4" w:space="0"/>
              <w:right w:val="nil"/>
            </w:tcBorders>
            <w:shd w:val="clear" w:color="auto" w:fill="FFFFFF"/>
            <w:vAlign w:val="center"/>
          </w:tcPr>
          <w:p w14:paraId="244BBF1B">
            <w:pPr>
              <w:jc w:val="righ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p w14:paraId="2B6A0176">
            <w:pPr>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参保人： </w:t>
            </w:r>
          </w:p>
          <w:p w14:paraId="3EE394A1">
            <w:pPr>
              <w:jc w:val="right"/>
              <w:rPr>
                <w:rFonts w:asciiTheme="minorEastAsia" w:hAnsiTheme="minorEastAsia" w:eastAsiaTheme="minorEastAsia" w:cstheme="minorEastAsia"/>
                <w:color w:val="auto"/>
                <w:kern w:val="0"/>
                <w:sz w:val="21"/>
                <w:szCs w:val="21"/>
              </w:rPr>
            </w:pPr>
          </w:p>
          <w:p w14:paraId="5C8BE601">
            <w:pPr>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年 　月　日</w:t>
            </w:r>
          </w:p>
          <w:p w14:paraId="2D0807F4">
            <w:pPr>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w:t>
            </w:r>
          </w:p>
        </w:tc>
        <w:tc>
          <w:tcPr>
            <w:tcW w:w="4577" w:type="dxa"/>
            <w:gridSpan w:val="3"/>
            <w:tcBorders>
              <w:top w:val="nil"/>
              <w:left w:val="single" w:color="000000" w:sz="4" w:space="0"/>
              <w:bottom w:val="single" w:color="auto" w:sz="4" w:space="0"/>
              <w:right w:val="single" w:color="000000" w:sz="4" w:space="0"/>
            </w:tcBorders>
            <w:shd w:val="clear" w:color="auto" w:fill="FFFFFF"/>
            <w:vAlign w:val="center"/>
          </w:tcPr>
          <w:p w14:paraId="3B07091D">
            <w:pPr>
              <w:widowControl/>
              <w:ind w:right="-454" w:rightChars="-142" w:firstLine="1260" w:firstLineChars="600"/>
              <w:textAlignment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经办人：</w:t>
            </w:r>
          </w:p>
          <w:p w14:paraId="31877C73">
            <w:pPr>
              <w:widowControl/>
              <w:ind w:right="-454" w:rightChars="-142"/>
              <w:jc w:val="center"/>
              <w:textAlignment w:val="center"/>
              <w:rPr>
                <w:rFonts w:asciiTheme="minorEastAsia" w:hAnsiTheme="minorEastAsia" w:eastAsiaTheme="minorEastAsia" w:cstheme="minorEastAsia"/>
                <w:color w:val="auto"/>
                <w:kern w:val="0"/>
                <w:sz w:val="21"/>
                <w:szCs w:val="21"/>
              </w:rPr>
            </w:pPr>
          </w:p>
          <w:p w14:paraId="2905C5A1">
            <w:pPr>
              <w:ind w:firstLine="1890" w:firstLineChars="9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年　 月　日（签章）</w:t>
            </w:r>
          </w:p>
        </w:tc>
      </w:tr>
    </w:tbl>
    <w:p w14:paraId="3C8B1C38">
      <w:pPr>
        <w:pStyle w:val="2"/>
        <w:rPr>
          <w:rFonts w:ascii="宋体" w:hAnsi="宋体" w:cs="宋体"/>
          <w:b/>
          <w:color w:val="auto"/>
          <w:kern w:val="0"/>
          <w:sz w:val="21"/>
          <w:szCs w:val="21"/>
        </w:rPr>
      </w:pPr>
    </w:p>
    <w:p w14:paraId="221D25AD">
      <w:pPr>
        <w:widowControl/>
        <w:jc w:val="left"/>
        <w:textAlignment w:val="center"/>
        <w:rPr>
          <w:rFonts w:asciiTheme="minorEastAsia" w:hAnsiTheme="minorEastAsia" w:cstheme="minorEastAsia"/>
          <w:color w:val="auto"/>
          <w:sz w:val="21"/>
          <w:szCs w:val="21"/>
        </w:rPr>
      </w:pPr>
      <w:r>
        <w:rPr>
          <w:rFonts w:hint="eastAsia" w:ascii="宋体" w:hAnsi="宋体" w:cs="宋体"/>
          <w:b/>
          <w:color w:val="auto"/>
          <w:kern w:val="0"/>
          <w:sz w:val="21"/>
          <w:szCs w:val="21"/>
        </w:rPr>
        <w:t>注：</w:t>
      </w:r>
      <w:r>
        <w:rPr>
          <w:rFonts w:hint="eastAsia" w:asciiTheme="minorEastAsia" w:hAnsiTheme="minorEastAsia" w:cstheme="minorEastAsia"/>
          <w:color w:val="auto"/>
          <w:sz w:val="21"/>
          <w:szCs w:val="21"/>
        </w:rPr>
        <w:t>1.*项为必填项，非*项由经办机构通过信息共享获取，暂无法获取的，可由参保人填写。</w:t>
      </w:r>
    </w:p>
    <w:p w14:paraId="65613F7F">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2.变更登记时，仅需在需要变更的项目填写内容。</w:t>
      </w:r>
    </w:p>
    <w:p w14:paraId="5652914D">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3.线上服务渠道受理的，利用人脸识别等实名认证方式代替纸质签章。</w:t>
      </w:r>
    </w:p>
    <w:p w14:paraId="4EF9D440">
      <w:pPr>
        <w:widowControl/>
        <w:ind w:firstLine="420" w:firstLineChars="200"/>
        <w:jc w:val="left"/>
        <w:textAlignment w:val="center"/>
        <w:rPr>
          <w:color w:val="auto"/>
          <w:sz w:val="21"/>
          <w:szCs w:val="21"/>
        </w:rPr>
      </w:pPr>
      <w:r>
        <w:rPr>
          <w:rFonts w:hint="eastAsia" w:asciiTheme="minorEastAsia" w:hAnsiTheme="minorEastAsia" w:cstheme="minorEastAsia"/>
          <w:color w:val="auto"/>
          <w:sz w:val="21"/>
          <w:szCs w:val="21"/>
        </w:rPr>
        <w:t>4.本表最终由县社保机构留存。</w:t>
      </w:r>
      <w:r>
        <w:rPr>
          <w:color w:val="auto"/>
          <w:sz w:val="21"/>
          <w:szCs w:val="21"/>
        </w:rPr>
        <w:br w:type="page"/>
      </w:r>
    </w:p>
    <w:p w14:paraId="546FB3F1">
      <w:pPr>
        <w:rPr>
          <w:rFonts w:ascii="黑体" w:hAnsi="黑体" w:eastAsia="黑体" w:cs="黑体"/>
          <w:color w:val="auto"/>
          <w:sz w:val="32"/>
          <w:szCs w:val="32"/>
        </w:rPr>
      </w:pPr>
      <w:r>
        <w:rPr>
          <w:rFonts w:hint="eastAsia" w:ascii="黑体" w:hAnsi="黑体" w:eastAsia="黑体" w:cs="黑体"/>
          <w:color w:val="auto"/>
          <w:sz w:val="32"/>
          <w:szCs w:val="32"/>
        </w:rPr>
        <w:t>附件2</w:t>
      </w:r>
    </w:p>
    <w:p w14:paraId="7C6D7A23">
      <w:pPr>
        <w:rPr>
          <w:rFonts w:ascii="黑体" w:hAnsi="黑体" w:eastAsia="黑体" w:cs="黑体"/>
          <w:color w:val="auto"/>
          <w:sz w:val="32"/>
          <w:szCs w:val="32"/>
        </w:rPr>
      </w:pPr>
    </w:p>
    <w:p w14:paraId="3E2EA7B3">
      <w:pPr>
        <w:spacing w:line="560" w:lineRule="exact"/>
        <w:jc w:val="center"/>
        <w:rPr>
          <w:rFonts w:ascii="黑体" w:hAnsi="黑体" w:eastAsia="黑体" w:cs="黑体"/>
          <w:color w:val="auto"/>
          <w:sz w:val="32"/>
          <w:szCs w:val="32"/>
        </w:rPr>
      </w:pPr>
      <w:r>
        <w:rPr>
          <w:rFonts w:hint="eastAsia" w:ascii="方正小标宋简体" w:hAnsi="方正小标宋简体" w:eastAsia="方正小标宋简体" w:cs="方正小标宋简体"/>
          <w:color w:val="auto"/>
          <w:spacing w:val="-17"/>
          <w:kern w:val="0"/>
          <w:sz w:val="44"/>
          <w:szCs w:val="44"/>
        </w:rPr>
        <w:t>居民基本养老保险集体补助和其他资助申请表</w:t>
      </w:r>
    </w:p>
    <w:tbl>
      <w:tblPr>
        <w:tblStyle w:val="8"/>
        <w:tblW w:w="9792" w:type="dxa"/>
        <w:jc w:val="center"/>
        <w:tblLayout w:type="fixed"/>
        <w:tblCellMar>
          <w:top w:w="15" w:type="dxa"/>
          <w:left w:w="15" w:type="dxa"/>
          <w:bottom w:w="15" w:type="dxa"/>
          <w:right w:w="15" w:type="dxa"/>
        </w:tblCellMar>
      </w:tblPr>
      <w:tblGrid>
        <w:gridCol w:w="720"/>
        <w:gridCol w:w="1128"/>
        <w:gridCol w:w="888"/>
        <w:gridCol w:w="3120"/>
        <w:gridCol w:w="2220"/>
        <w:gridCol w:w="1716"/>
      </w:tblGrid>
      <w:tr w14:paraId="2A57DC38">
        <w:tblPrEx>
          <w:tblCellMar>
            <w:top w:w="15" w:type="dxa"/>
            <w:left w:w="15" w:type="dxa"/>
            <w:bottom w:w="15" w:type="dxa"/>
            <w:right w:w="15" w:type="dxa"/>
          </w:tblCellMar>
        </w:tblPrEx>
        <w:trPr>
          <w:trHeight w:val="485" w:hRule="atLeast"/>
          <w:jc w:val="center"/>
        </w:trPr>
        <w:tc>
          <w:tcPr>
            <w:tcW w:w="9792" w:type="dxa"/>
            <w:gridSpan w:val="6"/>
            <w:tcBorders>
              <w:bottom w:val="single" w:color="000000" w:sz="4" w:space="0"/>
            </w:tcBorders>
            <w:shd w:val="clear" w:color="auto" w:fill="auto"/>
            <w:tcMar>
              <w:top w:w="12" w:type="dxa"/>
              <w:left w:w="12" w:type="dxa"/>
              <w:right w:w="12" w:type="dxa"/>
            </w:tcMar>
            <w:vAlign w:val="bottom"/>
          </w:tcPr>
          <w:p w14:paraId="06EF122B">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补（资）助申请人:                                  填表日期：    年     月    日  </w:t>
            </w:r>
          </w:p>
        </w:tc>
      </w:tr>
      <w:tr w14:paraId="28256208">
        <w:tblPrEx>
          <w:tblCellMar>
            <w:top w:w="15" w:type="dxa"/>
            <w:left w:w="15" w:type="dxa"/>
            <w:bottom w:w="15" w:type="dxa"/>
            <w:right w:w="15" w:type="dxa"/>
          </w:tblCellMar>
        </w:tblPrEx>
        <w:trPr>
          <w:trHeight w:val="319"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111E0">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序号</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C43E8">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补（资）助对象姓名</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4004D0">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性 别</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4FED4">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公民身份号码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D9B28">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补（资）助标准</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50FB5">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备注</w:t>
            </w:r>
          </w:p>
        </w:tc>
      </w:tr>
      <w:tr w14:paraId="32E211B1">
        <w:tblPrEx>
          <w:tblCellMar>
            <w:top w:w="15" w:type="dxa"/>
            <w:left w:w="15" w:type="dxa"/>
            <w:bottom w:w="15" w:type="dxa"/>
            <w:right w:w="15" w:type="dxa"/>
          </w:tblCellMar>
        </w:tblPrEx>
        <w:trPr>
          <w:trHeight w:val="31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A6F17">
            <w:pPr>
              <w:widowControl/>
              <w:jc w:val="left"/>
              <w:textAlignment w:val="center"/>
              <w:rPr>
                <w:rFonts w:asciiTheme="minorEastAsia" w:hAnsiTheme="minorEastAsia" w:cstheme="minorEastAsia"/>
                <w:color w:val="auto"/>
                <w:sz w:val="21"/>
                <w:szCs w:val="21"/>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D078C">
            <w:pPr>
              <w:widowControl/>
              <w:jc w:val="left"/>
              <w:textAlignment w:val="center"/>
              <w:rPr>
                <w:rFonts w:asciiTheme="minorEastAsia" w:hAnsiTheme="minorEastAsia" w:cstheme="minorEastAsia"/>
                <w:color w:val="auto"/>
                <w:sz w:val="21"/>
                <w:szCs w:val="21"/>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F58D3">
            <w:pPr>
              <w:widowControl/>
              <w:jc w:val="left"/>
              <w:textAlignment w:val="center"/>
              <w:rPr>
                <w:rFonts w:asciiTheme="minorEastAsia" w:hAnsiTheme="minorEastAsia" w:cstheme="minorEastAsia"/>
                <w:color w:val="auto"/>
                <w:sz w:val="21"/>
                <w:szCs w:val="21"/>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31EEB">
            <w:pPr>
              <w:widowControl/>
              <w:jc w:val="left"/>
              <w:textAlignment w:val="center"/>
              <w:rPr>
                <w:rFonts w:asciiTheme="minorEastAsia" w:hAnsiTheme="minorEastAsia" w:cstheme="minorEastAsia"/>
                <w:color w:val="auto"/>
                <w:sz w:val="21"/>
                <w:szCs w:val="21"/>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11FBE">
            <w:pPr>
              <w:widowControl/>
              <w:jc w:val="left"/>
              <w:textAlignment w:val="center"/>
              <w:rPr>
                <w:rFonts w:asciiTheme="minorEastAsia" w:hAnsiTheme="minorEastAsia" w:cstheme="minorEastAsia"/>
                <w:color w:val="auto"/>
                <w:sz w:val="21"/>
                <w:szCs w:val="21"/>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E9256">
            <w:pPr>
              <w:widowControl/>
              <w:jc w:val="left"/>
              <w:textAlignment w:val="center"/>
              <w:rPr>
                <w:rFonts w:asciiTheme="minorEastAsia" w:hAnsiTheme="minorEastAsia" w:cstheme="minorEastAsia"/>
                <w:color w:val="auto"/>
                <w:sz w:val="21"/>
                <w:szCs w:val="21"/>
              </w:rPr>
            </w:pPr>
          </w:p>
        </w:tc>
      </w:tr>
      <w:tr w14:paraId="23C02C71">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AE8DD">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802CA">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456C6">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83628">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83DE3">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48E02">
            <w:pPr>
              <w:widowControl/>
              <w:jc w:val="left"/>
              <w:textAlignment w:val="center"/>
              <w:rPr>
                <w:rFonts w:asciiTheme="minorEastAsia" w:hAnsiTheme="minorEastAsia" w:cstheme="minorEastAsia"/>
                <w:color w:val="auto"/>
                <w:sz w:val="21"/>
                <w:szCs w:val="21"/>
              </w:rPr>
            </w:pPr>
          </w:p>
        </w:tc>
      </w:tr>
      <w:tr w14:paraId="358044F0">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65752">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82326">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BF745">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CA4185">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3AA9E">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BA4B1">
            <w:pPr>
              <w:widowControl/>
              <w:jc w:val="left"/>
              <w:textAlignment w:val="center"/>
              <w:rPr>
                <w:rFonts w:asciiTheme="minorEastAsia" w:hAnsiTheme="minorEastAsia" w:cstheme="minorEastAsia"/>
                <w:color w:val="auto"/>
                <w:sz w:val="21"/>
                <w:szCs w:val="21"/>
              </w:rPr>
            </w:pPr>
          </w:p>
        </w:tc>
      </w:tr>
      <w:tr w14:paraId="273CF1D7">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8679E">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0153A">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B079F">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10C34">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5EFF2">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6377E">
            <w:pPr>
              <w:widowControl/>
              <w:jc w:val="left"/>
              <w:textAlignment w:val="center"/>
              <w:rPr>
                <w:rFonts w:asciiTheme="minorEastAsia" w:hAnsiTheme="minorEastAsia" w:cstheme="minorEastAsia"/>
                <w:color w:val="auto"/>
                <w:sz w:val="21"/>
                <w:szCs w:val="21"/>
              </w:rPr>
            </w:pPr>
          </w:p>
        </w:tc>
      </w:tr>
      <w:tr w14:paraId="76DFA466">
        <w:tblPrEx>
          <w:tblCellMar>
            <w:top w:w="15" w:type="dxa"/>
            <w:left w:w="15" w:type="dxa"/>
            <w:bottom w:w="15" w:type="dxa"/>
            <w:right w:w="15" w:type="dxa"/>
          </w:tblCellMar>
        </w:tblPrEx>
        <w:trPr>
          <w:trHeight w:val="10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EE80D">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B0EF2">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BDE6C">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186DC">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D3076">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F3C0B">
            <w:pPr>
              <w:widowControl/>
              <w:jc w:val="left"/>
              <w:textAlignment w:val="center"/>
              <w:rPr>
                <w:rFonts w:asciiTheme="minorEastAsia" w:hAnsiTheme="minorEastAsia" w:cstheme="minorEastAsia"/>
                <w:color w:val="auto"/>
                <w:sz w:val="21"/>
                <w:szCs w:val="21"/>
              </w:rPr>
            </w:pPr>
          </w:p>
        </w:tc>
      </w:tr>
      <w:tr w14:paraId="4EB135A6">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F507C">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9CCE2">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E55B8">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DD4F9">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BFB12">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7A89F">
            <w:pPr>
              <w:widowControl/>
              <w:jc w:val="left"/>
              <w:textAlignment w:val="center"/>
              <w:rPr>
                <w:rFonts w:asciiTheme="minorEastAsia" w:hAnsiTheme="minorEastAsia" w:cstheme="minorEastAsia"/>
                <w:color w:val="auto"/>
                <w:sz w:val="21"/>
                <w:szCs w:val="21"/>
              </w:rPr>
            </w:pPr>
          </w:p>
        </w:tc>
      </w:tr>
      <w:tr w14:paraId="532F1808">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644E8">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B7339">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363F8">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816F6">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43AB8">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A6A22">
            <w:pPr>
              <w:widowControl/>
              <w:jc w:val="left"/>
              <w:textAlignment w:val="center"/>
              <w:rPr>
                <w:rFonts w:asciiTheme="minorEastAsia" w:hAnsiTheme="minorEastAsia" w:cstheme="minorEastAsia"/>
                <w:color w:val="auto"/>
                <w:sz w:val="21"/>
                <w:szCs w:val="21"/>
              </w:rPr>
            </w:pPr>
          </w:p>
        </w:tc>
      </w:tr>
      <w:tr w14:paraId="4CCC9501">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C2AFF">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CF928">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98D48">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956A6">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BE3F4">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E2E30">
            <w:pPr>
              <w:widowControl/>
              <w:jc w:val="left"/>
              <w:textAlignment w:val="center"/>
              <w:rPr>
                <w:rFonts w:asciiTheme="minorEastAsia" w:hAnsiTheme="minorEastAsia" w:cstheme="minorEastAsia"/>
                <w:color w:val="auto"/>
                <w:sz w:val="21"/>
                <w:szCs w:val="21"/>
              </w:rPr>
            </w:pPr>
          </w:p>
        </w:tc>
      </w:tr>
      <w:tr w14:paraId="2C987C6E">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F3B9E">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1C0DA">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3A1CE">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F6455">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88EDF">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049D0">
            <w:pPr>
              <w:widowControl/>
              <w:jc w:val="left"/>
              <w:textAlignment w:val="center"/>
              <w:rPr>
                <w:rFonts w:asciiTheme="minorEastAsia" w:hAnsiTheme="minorEastAsia" w:cstheme="minorEastAsia"/>
                <w:color w:val="auto"/>
                <w:sz w:val="21"/>
                <w:szCs w:val="21"/>
              </w:rPr>
            </w:pPr>
          </w:p>
        </w:tc>
      </w:tr>
      <w:tr w14:paraId="069B7CFC">
        <w:tblPrEx>
          <w:tblCellMar>
            <w:top w:w="15" w:type="dxa"/>
            <w:left w:w="15" w:type="dxa"/>
            <w:bottom w:w="15" w:type="dxa"/>
            <w:right w:w="15" w:type="dxa"/>
          </w:tblCellMar>
        </w:tblPrEx>
        <w:trPr>
          <w:trHeight w:val="1265" w:hRule="atLeast"/>
          <w:jc w:val="center"/>
        </w:trPr>
        <w:tc>
          <w:tcPr>
            <w:tcW w:w="979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21E0C">
            <w:pPr>
              <w:widowControl/>
              <w:jc w:val="left"/>
              <w:textAlignment w:val="center"/>
              <w:rPr>
                <w:rFonts w:asciiTheme="minorEastAsia" w:hAnsiTheme="minorEastAsia" w:cstheme="minorEastAsia"/>
                <w:color w:val="auto"/>
                <w:sz w:val="21"/>
                <w:szCs w:val="21"/>
              </w:rPr>
            </w:pPr>
          </w:p>
          <w:p w14:paraId="46D546D7">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填表人（签章）:                                      填报单位（公章）    </w:t>
            </w:r>
          </w:p>
          <w:p w14:paraId="48295C12">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年    月    日 </w:t>
            </w:r>
          </w:p>
        </w:tc>
      </w:tr>
      <w:tr w14:paraId="304BA992">
        <w:tblPrEx>
          <w:tblCellMar>
            <w:top w:w="15" w:type="dxa"/>
            <w:left w:w="15" w:type="dxa"/>
            <w:bottom w:w="15" w:type="dxa"/>
            <w:right w:w="15" w:type="dxa"/>
          </w:tblCellMar>
        </w:tblPrEx>
        <w:trPr>
          <w:trHeight w:val="445" w:hRule="atLeast"/>
          <w:jc w:val="center"/>
        </w:trPr>
        <w:tc>
          <w:tcPr>
            <w:tcW w:w="979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4D155">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w:t>
            </w:r>
          </w:p>
          <w:p w14:paraId="3A0FDB0D">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乡镇（街道）审核人（签章）:                          乡镇（街道）（公章）</w:t>
            </w:r>
          </w:p>
          <w:p w14:paraId="48F447DA">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年    月    日                 </w:t>
            </w:r>
          </w:p>
        </w:tc>
      </w:tr>
      <w:tr w14:paraId="0AFF672F">
        <w:tblPrEx>
          <w:tblCellMar>
            <w:top w:w="15" w:type="dxa"/>
            <w:left w:w="15" w:type="dxa"/>
            <w:bottom w:w="15" w:type="dxa"/>
            <w:right w:w="15" w:type="dxa"/>
          </w:tblCellMar>
        </w:tblPrEx>
        <w:trPr>
          <w:trHeight w:val="90" w:hRule="atLeast"/>
          <w:jc w:val="center"/>
        </w:trPr>
        <w:tc>
          <w:tcPr>
            <w:tcW w:w="979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DC250">
            <w:pPr>
              <w:widowControl/>
              <w:jc w:val="left"/>
              <w:textAlignment w:val="center"/>
              <w:rPr>
                <w:rFonts w:asciiTheme="minorEastAsia" w:hAnsiTheme="minorEastAsia" w:cstheme="minorEastAsia"/>
                <w:color w:val="auto"/>
                <w:sz w:val="21"/>
                <w:szCs w:val="21"/>
              </w:rPr>
            </w:pPr>
          </w:p>
          <w:p w14:paraId="6B174437">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县社保机构审核人（签章）：                           县社保机构（公章）                                               </w:t>
            </w:r>
          </w:p>
          <w:p w14:paraId="4A094F3C">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年    月    日 </w:t>
            </w:r>
          </w:p>
        </w:tc>
      </w:tr>
      <w:tr w14:paraId="472339FD">
        <w:tblPrEx>
          <w:tblCellMar>
            <w:top w:w="15" w:type="dxa"/>
            <w:left w:w="15" w:type="dxa"/>
            <w:bottom w:w="15" w:type="dxa"/>
            <w:right w:w="15" w:type="dxa"/>
          </w:tblCellMar>
        </w:tblPrEx>
        <w:trPr>
          <w:trHeight w:val="228" w:hRule="atLeast"/>
          <w:jc w:val="center"/>
        </w:trPr>
        <w:tc>
          <w:tcPr>
            <w:tcW w:w="9792" w:type="dxa"/>
            <w:gridSpan w:val="6"/>
            <w:shd w:val="clear" w:color="auto" w:fill="auto"/>
            <w:tcMar>
              <w:top w:w="12" w:type="dxa"/>
              <w:left w:w="12" w:type="dxa"/>
              <w:right w:w="12" w:type="dxa"/>
            </w:tcMar>
            <w:vAlign w:val="center"/>
          </w:tcPr>
          <w:p w14:paraId="55D4980A">
            <w:pPr>
              <w:widowControl/>
              <w:jc w:val="left"/>
              <w:textAlignment w:val="center"/>
              <w:rPr>
                <w:rFonts w:ascii="宋体" w:hAnsi="宋体" w:cs="宋体"/>
                <w:b/>
                <w:color w:val="auto"/>
                <w:kern w:val="0"/>
                <w:sz w:val="21"/>
                <w:szCs w:val="21"/>
              </w:rPr>
            </w:pPr>
          </w:p>
          <w:p w14:paraId="4F4B3D75">
            <w:pPr>
              <w:widowControl/>
              <w:jc w:val="left"/>
              <w:textAlignment w:val="center"/>
              <w:rPr>
                <w:rFonts w:asciiTheme="minorEastAsia" w:hAnsiTheme="minorEastAsia" w:cstheme="minorEastAsia"/>
                <w:color w:val="auto"/>
                <w:sz w:val="21"/>
                <w:szCs w:val="21"/>
              </w:rPr>
            </w:pPr>
            <w:r>
              <w:rPr>
                <w:rFonts w:hint="eastAsia" w:ascii="宋体" w:hAnsi="宋体" w:cs="宋体"/>
                <w:b/>
                <w:color w:val="auto"/>
                <w:kern w:val="0"/>
                <w:sz w:val="21"/>
                <w:szCs w:val="21"/>
              </w:rPr>
              <w:t>注：</w:t>
            </w:r>
            <w:r>
              <w:rPr>
                <w:rFonts w:hint="eastAsia" w:asciiTheme="minorEastAsia" w:hAnsiTheme="minorEastAsia" w:cstheme="minorEastAsia"/>
                <w:color w:val="auto"/>
                <w:sz w:val="21"/>
                <w:szCs w:val="21"/>
              </w:rPr>
              <w:t>1.本表用于办理集体补助、其他资助。</w:t>
            </w:r>
          </w:p>
          <w:p w14:paraId="46CBF6A9">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2.补（资）助申请人为</w:t>
            </w:r>
            <w:r>
              <w:rPr>
                <w:rFonts w:hint="eastAsia"/>
                <w:color w:val="auto"/>
                <w:sz w:val="21"/>
                <w:szCs w:val="21"/>
              </w:rPr>
              <w:t>村（居）集体和其他经</w:t>
            </w:r>
            <w:r>
              <w:rPr>
                <w:rFonts w:hint="eastAsia"/>
                <w:bCs/>
                <w:color w:val="auto"/>
                <w:sz w:val="21"/>
                <w:szCs w:val="21"/>
              </w:rPr>
              <w:t>济组织、社会公益组织、个人</w:t>
            </w:r>
            <w:r>
              <w:rPr>
                <w:rFonts w:hint="eastAsia" w:asciiTheme="minorEastAsia" w:hAnsiTheme="minorEastAsia" w:cstheme="minorEastAsia"/>
                <w:color w:val="auto"/>
                <w:sz w:val="21"/>
                <w:szCs w:val="21"/>
              </w:rPr>
              <w:t>。</w:t>
            </w:r>
          </w:p>
          <w:p w14:paraId="1B02C58C">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3.办</w:t>
            </w:r>
            <w:r>
              <w:rPr>
                <w:rFonts w:hint="eastAsia" w:asciiTheme="minorEastAsia" w:hAnsiTheme="minorEastAsia" w:eastAsiaTheme="minorEastAsia" w:cstheme="minorEastAsia"/>
                <w:color w:val="auto"/>
                <w:sz w:val="21"/>
                <w:szCs w:val="21"/>
              </w:rPr>
              <w:t>理集体补助</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应</w:t>
            </w:r>
            <w:r>
              <w:rPr>
                <w:rFonts w:hint="eastAsia" w:asciiTheme="minorEastAsia" w:hAnsiTheme="minorEastAsia" w:cstheme="minorEastAsia"/>
                <w:color w:val="auto"/>
                <w:sz w:val="21"/>
                <w:szCs w:val="21"/>
              </w:rPr>
              <w:t>由</w:t>
            </w:r>
            <w:r>
              <w:rPr>
                <w:rFonts w:hint="eastAsia" w:asciiTheme="minorEastAsia" w:hAnsiTheme="minorEastAsia" w:eastAsiaTheme="minorEastAsia" w:cstheme="minorEastAsia"/>
                <w:color w:val="auto"/>
                <w:sz w:val="21"/>
                <w:szCs w:val="21"/>
              </w:rPr>
              <w:t>村</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居</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民委员会盖章同意，乡镇（街道）政府审核</w:t>
            </w:r>
            <w:r>
              <w:rPr>
                <w:rFonts w:hint="eastAsia" w:asciiTheme="minorEastAsia" w:hAnsiTheme="minorEastAsia" w:cstheme="minorEastAsia"/>
                <w:color w:val="auto"/>
                <w:sz w:val="21"/>
                <w:szCs w:val="21"/>
              </w:rPr>
              <w:t>。</w:t>
            </w:r>
          </w:p>
          <w:p w14:paraId="7576D12C">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4.办</w:t>
            </w:r>
            <w:r>
              <w:rPr>
                <w:rFonts w:hint="eastAsia" w:asciiTheme="minorEastAsia" w:hAnsiTheme="minorEastAsia" w:eastAsiaTheme="minorEastAsia" w:cstheme="minorEastAsia"/>
                <w:color w:val="auto"/>
                <w:sz w:val="21"/>
                <w:szCs w:val="21"/>
              </w:rPr>
              <w:t>理其他资助</w:t>
            </w:r>
            <w:r>
              <w:rPr>
                <w:rFonts w:hint="eastAsia" w:asciiTheme="minorEastAsia" w:hAnsiTheme="minorEastAsia" w:cstheme="minorEastAsia"/>
                <w:color w:val="auto"/>
                <w:sz w:val="21"/>
                <w:szCs w:val="21"/>
              </w:rPr>
              <w:t>，应由其他</w:t>
            </w:r>
            <w:r>
              <w:rPr>
                <w:rFonts w:hint="eastAsia" w:asciiTheme="minorEastAsia" w:hAnsiTheme="minorEastAsia" w:eastAsiaTheme="minorEastAsia" w:cstheme="minorEastAsia"/>
                <w:color w:val="auto"/>
                <w:sz w:val="21"/>
                <w:szCs w:val="21"/>
              </w:rPr>
              <w:t>经济组织</w:t>
            </w:r>
            <w:r>
              <w:rPr>
                <w:rFonts w:hint="eastAsia" w:asciiTheme="minorEastAsia" w:hAnsiTheme="minorEastAsia" w:cstheme="minorEastAsia"/>
                <w:color w:val="auto"/>
                <w:sz w:val="21"/>
                <w:szCs w:val="21"/>
              </w:rPr>
              <w:t>、社会公益</w:t>
            </w:r>
            <w:r>
              <w:rPr>
                <w:rFonts w:hint="eastAsia" w:asciiTheme="minorEastAsia" w:hAnsiTheme="minorEastAsia" w:eastAsiaTheme="minorEastAsia" w:cstheme="minorEastAsia"/>
                <w:color w:val="auto"/>
                <w:sz w:val="21"/>
                <w:szCs w:val="21"/>
              </w:rPr>
              <w:t>组织盖章或个人签字，无需乡镇（街道）政府审核</w:t>
            </w:r>
            <w:r>
              <w:rPr>
                <w:rFonts w:hint="eastAsia" w:asciiTheme="minorEastAsia" w:hAnsiTheme="minorEastAsia" w:cstheme="minorEastAsia"/>
                <w:color w:val="auto"/>
                <w:sz w:val="21"/>
                <w:szCs w:val="21"/>
              </w:rPr>
              <w:t>。</w:t>
            </w:r>
          </w:p>
          <w:p w14:paraId="104904D0">
            <w:pPr>
              <w:widowControl/>
              <w:jc w:val="left"/>
              <w:textAlignment w:val="center"/>
              <w:rPr>
                <w:rFonts w:ascii="宋体" w:hAnsi="宋体" w:cs="宋体"/>
                <w:b/>
                <w:color w:val="auto"/>
                <w:sz w:val="21"/>
                <w:szCs w:val="21"/>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5.本表由村（居）集体、</w:t>
            </w:r>
            <w:r>
              <w:rPr>
                <w:rFonts w:hint="eastAsia" w:asciiTheme="minorEastAsia" w:hAnsiTheme="minorEastAsia" w:cstheme="minorEastAsia"/>
                <w:color w:val="auto"/>
                <w:sz w:val="21"/>
                <w:szCs w:val="21"/>
              </w:rPr>
              <w:t>其他经济组织、社会公益组织或个人</w:t>
            </w:r>
            <w:r>
              <w:rPr>
                <w:rFonts w:hint="eastAsia" w:asciiTheme="minorEastAsia" w:hAnsiTheme="minorEastAsia" w:eastAsiaTheme="minorEastAsia" w:cstheme="minorEastAsia"/>
                <w:color w:val="auto"/>
                <w:sz w:val="21"/>
                <w:szCs w:val="21"/>
              </w:rPr>
              <w:t>、乡镇（街道）和社保机构分别留存。</w:t>
            </w:r>
          </w:p>
        </w:tc>
      </w:tr>
    </w:tbl>
    <w:p w14:paraId="05A09956">
      <w:pPr>
        <w:rPr>
          <w:color w:val="auto"/>
        </w:rPr>
        <w:sectPr>
          <w:pgSz w:w="11906" w:h="16838"/>
          <w:pgMar w:top="1440" w:right="1416" w:bottom="1440" w:left="1800" w:header="851" w:footer="1191" w:gutter="0"/>
          <w:pgBorders>
            <w:top w:val="none" w:sz="0" w:space="0"/>
            <w:left w:val="none" w:sz="0" w:space="0"/>
            <w:bottom w:val="none" w:sz="0" w:space="0"/>
            <w:right w:val="none" w:sz="0" w:space="0"/>
          </w:pgBorders>
          <w:cols w:space="0" w:num="1"/>
          <w:rtlGutter w:val="0"/>
          <w:docGrid w:type="lines" w:linePitch="312" w:charSpace="0"/>
        </w:sectPr>
      </w:pPr>
    </w:p>
    <w:p w14:paraId="6CC94DBD">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10FF457B">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color w:val="auto"/>
          <w:spacing w:val="0"/>
          <w:kern w:val="0"/>
          <w:sz w:val="44"/>
          <w:szCs w:val="44"/>
        </w:rPr>
      </w:pPr>
      <w:r>
        <w:rPr>
          <w:rFonts w:hint="eastAsia" w:ascii="方正小标宋简体" w:hAnsi="方正小标宋简体" w:eastAsia="方正小标宋简体" w:cs="方正小标宋简体"/>
          <w:color w:val="auto"/>
          <w:spacing w:val="0"/>
          <w:kern w:val="0"/>
          <w:sz w:val="44"/>
          <w:szCs w:val="44"/>
        </w:rPr>
        <w:t>被征地农民</w:t>
      </w:r>
      <w:r>
        <w:rPr>
          <w:rFonts w:hint="eastAsia" w:ascii="方正小标宋简体" w:hAnsi="方正小标宋简体" w:eastAsia="方正小标宋简体" w:cs="方正小标宋简体"/>
          <w:color w:val="auto"/>
          <w:spacing w:val="0"/>
          <w:kern w:val="0"/>
          <w:sz w:val="44"/>
          <w:szCs w:val="44"/>
          <w:lang w:val="en-US" w:eastAsia="zh-CN"/>
        </w:rPr>
        <w:t>参加居民基本</w:t>
      </w:r>
      <w:r>
        <w:rPr>
          <w:rFonts w:hint="eastAsia" w:ascii="方正小标宋简体" w:hAnsi="方正小标宋简体" w:eastAsia="方正小标宋简体" w:cs="方正小标宋简体"/>
          <w:color w:val="auto"/>
          <w:spacing w:val="0"/>
          <w:kern w:val="0"/>
          <w:sz w:val="44"/>
          <w:szCs w:val="44"/>
        </w:rPr>
        <w:t>养老</w:t>
      </w:r>
      <w:r>
        <w:rPr>
          <w:rFonts w:hint="eastAsia" w:ascii="方正小标宋简体" w:hAnsi="方正小标宋简体" w:eastAsia="方正小标宋简体" w:cs="方正小标宋简体"/>
          <w:color w:val="auto"/>
          <w:spacing w:val="0"/>
          <w:kern w:val="0"/>
          <w:sz w:val="44"/>
          <w:szCs w:val="44"/>
          <w:lang w:eastAsia="zh-CN"/>
        </w:rPr>
        <w:t>保险参保</w:t>
      </w:r>
      <w:r>
        <w:rPr>
          <w:rFonts w:hint="eastAsia" w:ascii="方正小标宋简体" w:hAnsi="方正小标宋简体" w:eastAsia="方正小标宋简体" w:cs="方正小标宋简体"/>
          <w:color w:val="auto"/>
          <w:spacing w:val="0"/>
          <w:kern w:val="0"/>
          <w:sz w:val="44"/>
          <w:szCs w:val="44"/>
          <w:lang w:val="en-US" w:eastAsia="zh-CN"/>
        </w:rPr>
        <w:t>缴费</w:t>
      </w:r>
      <w:r>
        <w:rPr>
          <w:rFonts w:hint="eastAsia" w:ascii="方正小标宋简体" w:hAnsi="方正小标宋简体" w:eastAsia="方正小标宋简体" w:cs="方正小标宋简体"/>
          <w:color w:val="auto"/>
          <w:spacing w:val="0"/>
          <w:kern w:val="0"/>
          <w:sz w:val="44"/>
          <w:szCs w:val="44"/>
          <w:lang w:eastAsia="zh-CN"/>
        </w:rPr>
        <w:t>明细表</w:t>
      </w:r>
    </w:p>
    <w:p w14:paraId="5F8934FC">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村（居）集体经济组织</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eastAsia="宋体"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 xml:space="preserve">           乡镇（街道）</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 xml:space="preserve">   征地批次名称：                    </w:t>
      </w:r>
    </w:p>
    <w:tbl>
      <w:tblPr>
        <w:tblStyle w:val="8"/>
        <w:tblW w:w="14538" w:type="dxa"/>
        <w:jc w:val="center"/>
        <w:tblLayout w:type="fixed"/>
        <w:tblCellMar>
          <w:top w:w="0" w:type="dxa"/>
          <w:left w:w="57" w:type="dxa"/>
          <w:bottom w:w="0" w:type="dxa"/>
          <w:right w:w="57" w:type="dxa"/>
        </w:tblCellMar>
      </w:tblPr>
      <w:tblGrid>
        <w:gridCol w:w="900"/>
        <w:gridCol w:w="968"/>
        <w:gridCol w:w="941"/>
        <w:gridCol w:w="1800"/>
        <w:gridCol w:w="2250"/>
        <w:gridCol w:w="1555"/>
        <w:gridCol w:w="1677"/>
        <w:gridCol w:w="1118"/>
        <w:gridCol w:w="1118"/>
        <w:gridCol w:w="1216"/>
        <w:gridCol w:w="995"/>
      </w:tblGrid>
      <w:tr w14:paraId="59103FBA">
        <w:tblPrEx>
          <w:tblCellMar>
            <w:top w:w="0" w:type="dxa"/>
            <w:left w:w="57" w:type="dxa"/>
            <w:bottom w:w="0" w:type="dxa"/>
            <w:right w:w="57" w:type="dxa"/>
          </w:tblCellMar>
        </w:tblPrEx>
        <w:trPr>
          <w:trHeight w:val="589" w:hRule="atLeast"/>
          <w:jc w:val="center"/>
        </w:trPr>
        <w:tc>
          <w:tcPr>
            <w:tcW w:w="900" w:type="dxa"/>
            <w:vMerge w:val="restart"/>
            <w:tcBorders>
              <w:top w:val="single" w:color="auto" w:sz="8" w:space="0"/>
              <w:left w:val="single" w:color="auto" w:sz="8" w:space="0"/>
              <w:bottom w:val="single" w:color="auto" w:sz="8" w:space="0"/>
              <w:right w:val="single" w:color="auto" w:sz="8" w:space="0"/>
            </w:tcBorders>
            <w:vAlign w:val="center"/>
          </w:tcPr>
          <w:p w14:paraId="5893A21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序号</w:t>
            </w:r>
          </w:p>
        </w:tc>
        <w:tc>
          <w:tcPr>
            <w:tcW w:w="968" w:type="dxa"/>
            <w:vMerge w:val="restart"/>
            <w:tcBorders>
              <w:top w:val="single" w:color="auto" w:sz="8" w:space="0"/>
              <w:left w:val="nil"/>
              <w:bottom w:val="single" w:color="auto" w:sz="8" w:space="0"/>
              <w:right w:val="single" w:color="auto" w:sz="8" w:space="0"/>
            </w:tcBorders>
            <w:vAlign w:val="center"/>
          </w:tcPr>
          <w:p w14:paraId="4195B21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姓名</w:t>
            </w:r>
          </w:p>
        </w:tc>
        <w:tc>
          <w:tcPr>
            <w:tcW w:w="941" w:type="dxa"/>
            <w:vMerge w:val="restart"/>
            <w:tcBorders>
              <w:top w:val="single" w:color="auto" w:sz="8" w:space="0"/>
              <w:left w:val="nil"/>
              <w:bottom w:val="single" w:color="auto" w:sz="8" w:space="0"/>
              <w:right w:val="single" w:color="auto" w:sz="8" w:space="0"/>
            </w:tcBorders>
            <w:vAlign w:val="center"/>
          </w:tcPr>
          <w:p w14:paraId="5550F4D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性别</w:t>
            </w:r>
          </w:p>
        </w:tc>
        <w:tc>
          <w:tcPr>
            <w:tcW w:w="1800" w:type="dxa"/>
            <w:vMerge w:val="restart"/>
            <w:tcBorders>
              <w:top w:val="single" w:color="auto" w:sz="8" w:space="0"/>
              <w:left w:val="nil"/>
              <w:bottom w:val="single" w:color="auto" w:sz="8" w:space="0"/>
              <w:right w:val="single" w:color="auto" w:sz="8" w:space="0"/>
            </w:tcBorders>
            <w:vAlign w:val="center"/>
          </w:tcPr>
          <w:p w14:paraId="0E57B3EF">
            <w:pPr>
              <w:widowControl/>
              <w:jc w:val="center"/>
              <w:textAlignment w:val="center"/>
              <w:rPr>
                <w:rFonts w:hint="eastAsia" w:eastAsia="宋体" w:asciiTheme="minorEastAsia" w:hAnsiTheme="minorEastAsia" w:cstheme="minorEastAsia"/>
                <w:color w:val="auto"/>
                <w:sz w:val="21"/>
                <w:szCs w:val="21"/>
              </w:rPr>
            </w:pPr>
            <w:r>
              <w:rPr>
                <w:rFonts w:hint="eastAsia" w:asciiTheme="minorEastAsia" w:hAnsiTheme="minorEastAsia" w:cstheme="minorEastAsia"/>
                <w:color w:val="auto"/>
                <w:sz w:val="21"/>
                <w:szCs w:val="21"/>
                <w:lang w:val="en-US" w:eastAsia="zh-CN"/>
              </w:rPr>
              <w:t>公民</w:t>
            </w:r>
            <w:r>
              <w:rPr>
                <w:rFonts w:hint="eastAsia" w:eastAsia="宋体" w:asciiTheme="minorEastAsia" w:hAnsiTheme="minorEastAsia" w:cstheme="minorEastAsia"/>
                <w:color w:val="auto"/>
                <w:sz w:val="21"/>
                <w:szCs w:val="21"/>
              </w:rPr>
              <w:t>身份号码</w:t>
            </w:r>
          </w:p>
        </w:tc>
        <w:tc>
          <w:tcPr>
            <w:tcW w:w="2250" w:type="dxa"/>
            <w:vMerge w:val="restart"/>
            <w:tcBorders>
              <w:top w:val="single" w:color="auto" w:sz="8" w:space="0"/>
              <w:left w:val="nil"/>
              <w:right w:val="single" w:color="auto" w:sz="8" w:space="0"/>
            </w:tcBorders>
            <w:vAlign w:val="center"/>
          </w:tcPr>
          <w:p w14:paraId="4D8F47A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政府补贴</w:t>
            </w:r>
            <w:r>
              <w:rPr>
                <w:rFonts w:hint="eastAsia" w:eastAsia="宋体" w:asciiTheme="minorEastAsia" w:hAnsiTheme="minorEastAsia" w:cstheme="minorEastAsia"/>
                <w:color w:val="auto"/>
                <w:sz w:val="21"/>
                <w:szCs w:val="21"/>
              </w:rPr>
              <w:t>资金（元）</w:t>
            </w:r>
          </w:p>
        </w:tc>
        <w:tc>
          <w:tcPr>
            <w:tcW w:w="1555" w:type="dxa"/>
            <w:vMerge w:val="restart"/>
            <w:tcBorders>
              <w:top w:val="single" w:color="auto" w:sz="8" w:space="0"/>
              <w:left w:val="nil"/>
              <w:right w:val="single" w:color="auto" w:sz="8" w:space="0"/>
            </w:tcBorders>
            <w:vAlign w:val="center"/>
          </w:tcPr>
          <w:p w14:paraId="0770FE4E">
            <w:pPr>
              <w:widowControl/>
              <w:jc w:val="center"/>
              <w:textAlignment w:val="center"/>
              <w:rPr>
                <w:rFonts w:hint="eastAsia" w:eastAsia="宋体" w:asciiTheme="minorEastAsia" w:hAnsiTheme="minorEastAsia" w:cstheme="minorEastAsia"/>
                <w:color w:val="auto"/>
                <w:sz w:val="21"/>
                <w:szCs w:val="21"/>
                <w:lang w:eastAsia="zh-CN"/>
              </w:rPr>
            </w:pPr>
            <w:r>
              <w:rPr>
                <w:rFonts w:hint="eastAsia" w:eastAsia="宋体" w:asciiTheme="minorEastAsia" w:hAnsiTheme="minorEastAsia" w:cstheme="minorEastAsia"/>
                <w:color w:val="auto"/>
                <w:sz w:val="21"/>
                <w:szCs w:val="21"/>
                <w:lang w:eastAsia="zh-CN"/>
              </w:rPr>
              <w:t>个人缴费（元）</w:t>
            </w:r>
          </w:p>
        </w:tc>
        <w:tc>
          <w:tcPr>
            <w:tcW w:w="1677" w:type="dxa"/>
            <w:vMerge w:val="restart"/>
            <w:tcBorders>
              <w:top w:val="single" w:color="auto" w:sz="8" w:space="0"/>
              <w:left w:val="nil"/>
              <w:bottom w:val="single" w:color="auto" w:sz="8" w:space="0"/>
              <w:right w:val="single" w:color="auto" w:sz="8" w:space="0"/>
            </w:tcBorders>
            <w:vAlign w:val="center"/>
          </w:tcPr>
          <w:p w14:paraId="4D36EE40">
            <w:pPr>
              <w:widowControl/>
              <w:jc w:val="center"/>
              <w:textAlignment w:val="center"/>
              <w:rPr>
                <w:rFonts w:hint="eastAsia" w:eastAsia="宋体" w:asciiTheme="minorEastAsia" w:hAnsiTheme="minorEastAsia" w:cstheme="minorEastAsia"/>
                <w:color w:val="auto"/>
                <w:sz w:val="21"/>
                <w:szCs w:val="21"/>
                <w:lang w:eastAsia="zh-CN"/>
              </w:rPr>
            </w:pPr>
            <w:r>
              <w:rPr>
                <w:rFonts w:hint="eastAsia" w:eastAsia="宋体" w:asciiTheme="minorEastAsia" w:hAnsiTheme="minorEastAsia" w:cstheme="minorEastAsia"/>
                <w:color w:val="auto"/>
                <w:sz w:val="21"/>
                <w:szCs w:val="21"/>
                <w:lang w:eastAsia="zh-CN"/>
              </w:rPr>
              <w:t>集体</w:t>
            </w:r>
            <w:r>
              <w:rPr>
                <w:rFonts w:hint="eastAsia" w:eastAsia="宋体" w:asciiTheme="minorEastAsia" w:hAnsiTheme="minorEastAsia" w:cstheme="minorEastAsia"/>
                <w:color w:val="auto"/>
                <w:sz w:val="21"/>
                <w:szCs w:val="21"/>
                <w:lang w:val="en-US" w:eastAsia="zh-CN"/>
              </w:rPr>
              <w:t>缴费</w:t>
            </w:r>
            <w:r>
              <w:rPr>
                <w:rFonts w:hint="eastAsia" w:eastAsia="宋体" w:asciiTheme="minorEastAsia" w:hAnsiTheme="minorEastAsia" w:cstheme="minorEastAsia"/>
                <w:color w:val="auto"/>
                <w:sz w:val="21"/>
                <w:szCs w:val="21"/>
                <w:lang w:eastAsia="zh-CN"/>
              </w:rPr>
              <w:t>（元）</w:t>
            </w:r>
          </w:p>
        </w:tc>
        <w:tc>
          <w:tcPr>
            <w:tcW w:w="3452" w:type="dxa"/>
            <w:gridSpan w:val="3"/>
            <w:tcBorders>
              <w:top w:val="single" w:color="auto" w:sz="8" w:space="0"/>
              <w:left w:val="nil"/>
              <w:bottom w:val="single" w:color="auto" w:sz="8" w:space="0"/>
              <w:right w:val="single" w:color="auto" w:sz="8" w:space="0"/>
            </w:tcBorders>
            <w:vAlign w:val="center"/>
          </w:tcPr>
          <w:p w14:paraId="68FCD79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参加</w:t>
            </w: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保险情况</w:t>
            </w:r>
          </w:p>
        </w:tc>
        <w:tc>
          <w:tcPr>
            <w:tcW w:w="995" w:type="dxa"/>
            <w:vMerge w:val="restart"/>
            <w:tcBorders>
              <w:top w:val="single" w:color="auto" w:sz="8" w:space="0"/>
              <w:left w:val="nil"/>
              <w:bottom w:val="single" w:color="auto" w:sz="8" w:space="0"/>
              <w:right w:val="single" w:color="auto" w:sz="8" w:space="0"/>
            </w:tcBorders>
            <w:vAlign w:val="center"/>
          </w:tcPr>
          <w:p w14:paraId="1B79F20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备  注</w:t>
            </w:r>
          </w:p>
        </w:tc>
      </w:tr>
      <w:tr w14:paraId="6D097E76">
        <w:tblPrEx>
          <w:tblCellMar>
            <w:top w:w="0" w:type="dxa"/>
            <w:left w:w="57" w:type="dxa"/>
            <w:bottom w:w="0" w:type="dxa"/>
            <w:right w:w="57" w:type="dxa"/>
          </w:tblCellMar>
        </w:tblPrEx>
        <w:trPr>
          <w:trHeight w:val="783" w:hRule="atLeast"/>
          <w:jc w:val="center"/>
        </w:trPr>
        <w:tc>
          <w:tcPr>
            <w:tcW w:w="900" w:type="dxa"/>
            <w:vMerge w:val="continue"/>
            <w:tcBorders>
              <w:top w:val="single" w:color="auto" w:sz="8" w:space="0"/>
              <w:left w:val="single" w:color="auto" w:sz="8" w:space="0"/>
              <w:bottom w:val="single" w:color="auto" w:sz="8" w:space="0"/>
              <w:right w:val="single" w:color="auto" w:sz="8" w:space="0"/>
            </w:tcBorders>
            <w:vAlign w:val="center"/>
          </w:tcPr>
          <w:p w14:paraId="705E37FD">
            <w:pPr>
              <w:widowControl/>
              <w:jc w:val="center"/>
              <w:textAlignment w:val="center"/>
              <w:rPr>
                <w:rFonts w:hint="eastAsia" w:eastAsia="宋体" w:asciiTheme="minorEastAsia" w:hAnsiTheme="minorEastAsia" w:cstheme="minorEastAsia"/>
                <w:color w:val="auto"/>
                <w:sz w:val="21"/>
                <w:szCs w:val="21"/>
              </w:rPr>
            </w:pPr>
          </w:p>
        </w:tc>
        <w:tc>
          <w:tcPr>
            <w:tcW w:w="968" w:type="dxa"/>
            <w:vMerge w:val="continue"/>
            <w:tcBorders>
              <w:top w:val="single" w:color="auto" w:sz="8" w:space="0"/>
              <w:left w:val="nil"/>
              <w:bottom w:val="single" w:color="auto" w:sz="8" w:space="0"/>
              <w:right w:val="single" w:color="auto" w:sz="8" w:space="0"/>
            </w:tcBorders>
            <w:vAlign w:val="center"/>
          </w:tcPr>
          <w:p w14:paraId="72474A4C">
            <w:pPr>
              <w:widowControl/>
              <w:jc w:val="center"/>
              <w:textAlignment w:val="center"/>
              <w:rPr>
                <w:rFonts w:hint="eastAsia" w:eastAsia="宋体" w:asciiTheme="minorEastAsia" w:hAnsiTheme="minorEastAsia" w:cstheme="minorEastAsia"/>
                <w:color w:val="auto"/>
                <w:sz w:val="21"/>
                <w:szCs w:val="21"/>
              </w:rPr>
            </w:pPr>
          </w:p>
        </w:tc>
        <w:tc>
          <w:tcPr>
            <w:tcW w:w="941" w:type="dxa"/>
            <w:vMerge w:val="continue"/>
            <w:tcBorders>
              <w:top w:val="single" w:color="auto" w:sz="8" w:space="0"/>
              <w:left w:val="nil"/>
              <w:bottom w:val="single" w:color="auto" w:sz="8" w:space="0"/>
              <w:right w:val="single" w:color="auto" w:sz="8" w:space="0"/>
            </w:tcBorders>
            <w:vAlign w:val="center"/>
          </w:tcPr>
          <w:p w14:paraId="2D225085">
            <w:pPr>
              <w:widowControl/>
              <w:jc w:val="center"/>
              <w:textAlignment w:val="center"/>
              <w:rPr>
                <w:rFonts w:hint="eastAsia" w:eastAsia="宋体" w:asciiTheme="minorEastAsia" w:hAnsiTheme="minorEastAsia" w:cstheme="minorEastAsia"/>
                <w:color w:val="auto"/>
                <w:sz w:val="21"/>
                <w:szCs w:val="21"/>
              </w:rPr>
            </w:pPr>
          </w:p>
        </w:tc>
        <w:tc>
          <w:tcPr>
            <w:tcW w:w="1800" w:type="dxa"/>
            <w:vMerge w:val="continue"/>
            <w:tcBorders>
              <w:top w:val="single" w:color="auto" w:sz="8" w:space="0"/>
              <w:left w:val="nil"/>
              <w:bottom w:val="single" w:color="auto" w:sz="8" w:space="0"/>
              <w:right w:val="single" w:color="auto" w:sz="8" w:space="0"/>
            </w:tcBorders>
            <w:vAlign w:val="center"/>
          </w:tcPr>
          <w:p w14:paraId="3D176052">
            <w:pPr>
              <w:widowControl/>
              <w:jc w:val="center"/>
              <w:textAlignment w:val="center"/>
              <w:rPr>
                <w:rFonts w:hint="eastAsia" w:eastAsia="宋体" w:asciiTheme="minorEastAsia" w:hAnsiTheme="minorEastAsia" w:cstheme="minorEastAsia"/>
                <w:color w:val="auto"/>
                <w:sz w:val="21"/>
                <w:szCs w:val="21"/>
              </w:rPr>
            </w:pPr>
          </w:p>
        </w:tc>
        <w:tc>
          <w:tcPr>
            <w:tcW w:w="2250" w:type="dxa"/>
            <w:vMerge w:val="continue"/>
            <w:tcBorders>
              <w:left w:val="nil"/>
              <w:bottom w:val="single" w:color="auto" w:sz="8" w:space="0"/>
              <w:right w:val="single" w:color="auto" w:sz="8" w:space="0"/>
            </w:tcBorders>
            <w:vAlign w:val="center"/>
          </w:tcPr>
          <w:p w14:paraId="51F85670">
            <w:pPr>
              <w:widowControl/>
              <w:jc w:val="center"/>
              <w:textAlignment w:val="center"/>
              <w:rPr>
                <w:rFonts w:hint="eastAsia" w:eastAsia="宋体" w:asciiTheme="minorEastAsia" w:hAnsiTheme="minorEastAsia" w:cstheme="minorEastAsia"/>
                <w:color w:val="auto"/>
                <w:sz w:val="21"/>
                <w:szCs w:val="21"/>
              </w:rPr>
            </w:pPr>
          </w:p>
        </w:tc>
        <w:tc>
          <w:tcPr>
            <w:tcW w:w="1555" w:type="dxa"/>
            <w:vMerge w:val="continue"/>
            <w:tcBorders>
              <w:left w:val="nil"/>
              <w:bottom w:val="single" w:color="auto" w:sz="8" w:space="0"/>
              <w:right w:val="single" w:color="auto" w:sz="8" w:space="0"/>
            </w:tcBorders>
            <w:vAlign w:val="center"/>
          </w:tcPr>
          <w:p w14:paraId="5A01C97B">
            <w:pPr>
              <w:widowControl/>
              <w:jc w:val="center"/>
              <w:textAlignment w:val="center"/>
              <w:rPr>
                <w:rFonts w:hint="eastAsia" w:eastAsia="宋体" w:asciiTheme="minorEastAsia" w:hAnsiTheme="minorEastAsia" w:cstheme="minorEastAsia"/>
                <w:color w:val="auto"/>
                <w:sz w:val="21"/>
                <w:szCs w:val="21"/>
              </w:rPr>
            </w:pPr>
          </w:p>
        </w:tc>
        <w:tc>
          <w:tcPr>
            <w:tcW w:w="1677" w:type="dxa"/>
            <w:vMerge w:val="continue"/>
            <w:tcBorders>
              <w:top w:val="single" w:color="auto" w:sz="8" w:space="0"/>
              <w:left w:val="nil"/>
              <w:bottom w:val="single" w:color="auto" w:sz="8" w:space="0"/>
              <w:right w:val="single" w:color="auto" w:sz="8" w:space="0"/>
            </w:tcBorders>
            <w:vAlign w:val="center"/>
          </w:tcPr>
          <w:p w14:paraId="1A11A120">
            <w:pPr>
              <w:widowControl/>
              <w:jc w:val="center"/>
              <w:textAlignment w:val="center"/>
              <w:rPr>
                <w:rFonts w:hint="eastAsia" w:eastAsia="宋体" w:asciiTheme="minorEastAsia" w:hAnsiTheme="minorEastAsia" w:cstheme="minorEastAsia"/>
                <w:color w:val="auto"/>
                <w:sz w:val="21"/>
                <w:szCs w:val="21"/>
              </w:rPr>
            </w:pPr>
          </w:p>
        </w:tc>
        <w:tc>
          <w:tcPr>
            <w:tcW w:w="1118" w:type="dxa"/>
            <w:tcBorders>
              <w:top w:val="single" w:color="auto" w:sz="8" w:space="0"/>
              <w:left w:val="nil"/>
              <w:bottom w:val="single" w:color="auto" w:sz="8" w:space="0"/>
              <w:right w:val="single" w:color="auto" w:sz="8" w:space="0"/>
            </w:tcBorders>
            <w:vAlign w:val="center"/>
          </w:tcPr>
          <w:p w14:paraId="5A9C3720">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参加职工养老保险</w:t>
            </w:r>
          </w:p>
        </w:tc>
        <w:tc>
          <w:tcPr>
            <w:tcW w:w="1118" w:type="dxa"/>
            <w:tcBorders>
              <w:top w:val="single" w:color="auto" w:sz="8" w:space="0"/>
              <w:left w:val="nil"/>
              <w:bottom w:val="single" w:color="auto" w:sz="8" w:space="0"/>
              <w:right w:val="single" w:color="auto" w:sz="8" w:space="0"/>
            </w:tcBorders>
            <w:vAlign w:val="center"/>
          </w:tcPr>
          <w:p w14:paraId="2FF2D86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参加居民养老保险</w:t>
            </w:r>
          </w:p>
        </w:tc>
        <w:tc>
          <w:tcPr>
            <w:tcW w:w="1216" w:type="dxa"/>
            <w:tcBorders>
              <w:top w:val="single" w:color="auto" w:sz="8" w:space="0"/>
              <w:left w:val="nil"/>
              <w:bottom w:val="single" w:color="auto" w:sz="8" w:space="0"/>
              <w:right w:val="single" w:color="auto" w:sz="8" w:space="0"/>
            </w:tcBorders>
            <w:vAlign w:val="center"/>
          </w:tcPr>
          <w:p w14:paraId="5B0B0DCE">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未参加</w:t>
            </w:r>
          </w:p>
          <w:p w14:paraId="50C03EC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w:t>
            </w:r>
          </w:p>
        </w:tc>
        <w:tc>
          <w:tcPr>
            <w:tcW w:w="995" w:type="dxa"/>
            <w:vMerge w:val="continue"/>
            <w:tcBorders>
              <w:top w:val="single" w:color="auto" w:sz="8" w:space="0"/>
              <w:left w:val="nil"/>
              <w:bottom w:val="single" w:color="auto" w:sz="8" w:space="0"/>
              <w:right w:val="single" w:color="auto" w:sz="8" w:space="0"/>
            </w:tcBorders>
            <w:vAlign w:val="center"/>
          </w:tcPr>
          <w:p w14:paraId="7FEA63B9">
            <w:pPr>
              <w:widowControl/>
              <w:jc w:val="center"/>
              <w:textAlignment w:val="center"/>
              <w:rPr>
                <w:rFonts w:hint="eastAsia" w:eastAsia="宋体" w:asciiTheme="minorEastAsia" w:hAnsiTheme="minorEastAsia" w:cstheme="minorEastAsia"/>
                <w:color w:val="auto"/>
                <w:sz w:val="21"/>
                <w:szCs w:val="21"/>
              </w:rPr>
            </w:pPr>
          </w:p>
        </w:tc>
      </w:tr>
      <w:tr w14:paraId="18902DC3">
        <w:tblPrEx>
          <w:tblCellMar>
            <w:top w:w="0" w:type="dxa"/>
            <w:left w:w="57" w:type="dxa"/>
            <w:bottom w:w="0" w:type="dxa"/>
            <w:right w:w="57" w:type="dxa"/>
          </w:tblCellMar>
        </w:tblPrEx>
        <w:trPr>
          <w:trHeight w:val="432"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14:paraId="19B26E3D">
            <w:pPr>
              <w:widowControl/>
              <w:jc w:val="center"/>
              <w:textAlignment w:val="center"/>
              <w:rPr>
                <w:rFonts w:hint="eastAsia" w:eastAsia="宋体" w:asciiTheme="minorEastAsia" w:hAnsiTheme="minorEastAsia" w:cstheme="minorEastAsia"/>
                <w:color w:val="auto"/>
                <w:sz w:val="21"/>
                <w:szCs w:val="21"/>
              </w:rPr>
            </w:pPr>
          </w:p>
        </w:tc>
        <w:tc>
          <w:tcPr>
            <w:tcW w:w="968" w:type="dxa"/>
            <w:tcBorders>
              <w:top w:val="single" w:color="auto" w:sz="8" w:space="0"/>
              <w:left w:val="nil"/>
              <w:bottom w:val="single" w:color="auto" w:sz="8" w:space="0"/>
              <w:right w:val="single" w:color="auto" w:sz="8" w:space="0"/>
            </w:tcBorders>
            <w:vAlign w:val="center"/>
          </w:tcPr>
          <w:p w14:paraId="1035809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41" w:type="dxa"/>
            <w:tcBorders>
              <w:top w:val="single" w:color="auto" w:sz="8" w:space="0"/>
              <w:left w:val="nil"/>
              <w:bottom w:val="single" w:color="auto" w:sz="8" w:space="0"/>
              <w:right w:val="single" w:color="auto" w:sz="8" w:space="0"/>
            </w:tcBorders>
            <w:vAlign w:val="center"/>
          </w:tcPr>
          <w:p w14:paraId="653F72E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800" w:type="dxa"/>
            <w:tcBorders>
              <w:top w:val="single" w:color="auto" w:sz="8" w:space="0"/>
              <w:left w:val="nil"/>
              <w:bottom w:val="single" w:color="auto" w:sz="8" w:space="0"/>
              <w:right w:val="single" w:color="auto" w:sz="8" w:space="0"/>
            </w:tcBorders>
            <w:vAlign w:val="center"/>
          </w:tcPr>
          <w:p w14:paraId="6BAF450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2250" w:type="dxa"/>
            <w:tcBorders>
              <w:top w:val="single" w:color="auto" w:sz="8" w:space="0"/>
              <w:left w:val="nil"/>
              <w:bottom w:val="single" w:color="auto" w:sz="8" w:space="0"/>
              <w:right w:val="single" w:color="auto" w:sz="8" w:space="0"/>
            </w:tcBorders>
            <w:vAlign w:val="center"/>
          </w:tcPr>
          <w:p w14:paraId="3A125472">
            <w:pPr>
              <w:widowControl/>
              <w:jc w:val="center"/>
              <w:textAlignment w:val="center"/>
              <w:rPr>
                <w:rFonts w:hint="eastAsia" w:eastAsia="宋体" w:asciiTheme="minorEastAsia" w:hAnsiTheme="minorEastAsia" w:cstheme="minorEastAsia"/>
                <w:color w:val="auto"/>
                <w:sz w:val="21"/>
                <w:szCs w:val="21"/>
              </w:rPr>
            </w:pPr>
          </w:p>
        </w:tc>
        <w:tc>
          <w:tcPr>
            <w:tcW w:w="1555" w:type="dxa"/>
            <w:tcBorders>
              <w:top w:val="single" w:color="auto" w:sz="8" w:space="0"/>
              <w:left w:val="nil"/>
              <w:bottom w:val="single" w:color="auto" w:sz="8" w:space="0"/>
              <w:right w:val="single" w:color="auto" w:sz="8" w:space="0"/>
            </w:tcBorders>
            <w:vAlign w:val="center"/>
          </w:tcPr>
          <w:p w14:paraId="39F9282C">
            <w:pPr>
              <w:widowControl/>
              <w:jc w:val="center"/>
              <w:textAlignment w:val="center"/>
              <w:rPr>
                <w:rFonts w:hint="eastAsia" w:eastAsia="宋体" w:asciiTheme="minorEastAsia" w:hAnsiTheme="minorEastAsia" w:cstheme="minorEastAsia"/>
                <w:color w:val="auto"/>
                <w:sz w:val="21"/>
                <w:szCs w:val="21"/>
              </w:rPr>
            </w:pPr>
          </w:p>
        </w:tc>
        <w:tc>
          <w:tcPr>
            <w:tcW w:w="1677" w:type="dxa"/>
            <w:tcBorders>
              <w:top w:val="single" w:color="auto" w:sz="8" w:space="0"/>
              <w:left w:val="nil"/>
              <w:bottom w:val="single" w:color="auto" w:sz="8" w:space="0"/>
              <w:right w:val="single" w:color="auto" w:sz="8" w:space="0"/>
            </w:tcBorders>
            <w:vAlign w:val="center"/>
          </w:tcPr>
          <w:p w14:paraId="7DC71EF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18" w:type="dxa"/>
            <w:tcBorders>
              <w:top w:val="single" w:color="auto" w:sz="8" w:space="0"/>
              <w:left w:val="nil"/>
              <w:bottom w:val="single" w:color="auto" w:sz="8" w:space="0"/>
              <w:right w:val="single" w:color="auto" w:sz="8" w:space="0"/>
            </w:tcBorders>
            <w:vAlign w:val="center"/>
          </w:tcPr>
          <w:p w14:paraId="5B2BEF8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18" w:type="dxa"/>
            <w:tcBorders>
              <w:top w:val="single" w:color="auto" w:sz="8" w:space="0"/>
              <w:left w:val="nil"/>
              <w:bottom w:val="single" w:color="auto" w:sz="8" w:space="0"/>
              <w:right w:val="single" w:color="auto" w:sz="8" w:space="0"/>
            </w:tcBorders>
            <w:vAlign w:val="center"/>
          </w:tcPr>
          <w:p w14:paraId="2035D4A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216" w:type="dxa"/>
            <w:tcBorders>
              <w:top w:val="single" w:color="auto" w:sz="8" w:space="0"/>
              <w:left w:val="nil"/>
              <w:bottom w:val="single" w:color="auto" w:sz="8" w:space="0"/>
              <w:right w:val="single" w:color="auto" w:sz="8" w:space="0"/>
            </w:tcBorders>
            <w:vAlign w:val="center"/>
          </w:tcPr>
          <w:p w14:paraId="3347857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95" w:type="dxa"/>
            <w:tcBorders>
              <w:top w:val="single" w:color="auto" w:sz="8" w:space="0"/>
              <w:left w:val="nil"/>
              <w:bottom w:val="single" w:color="auto" w:sz="8" w:space="0"/>
              <w:right w:val="single" w:color="auto" w:sz="8" w:space="0"/>
            </w:tcBorders>
            <w:vAlign w:val="center"/>
          </w:tcPr>
          <w:p w14:paraId="498520C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441A93DD">
        <w:tblPrEx>
          <w:tblCellMar>
            <w:top w:w="0" w:type="dxa"/>
            <w:left w:w="57" w:type="dxa"/>
            <w:bottom w:w="0" w:type="dxa"/>
            <w:right w:w="57" w:type="dxa"/>
          </w:tblCellMar>
        </w:tblPrEx>
        <w:trPr>
          <w:trHeight w:val="337"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14:paraId="0445AA45">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p>
        </w:tc>
        <w:tc>
          <w:tcPr>
            <w:tcW w:w="968" w:type="dxa"/>
            <w:tcBorders>
              <w:top w:val="single" w:color="auto" w:sz="8" w:space="0"/>
              <w:left w:val="nil"/>
              <w:bottom w:val="single" w:color="auto" w:sz="8" w:space="0"/>
              <w:right w:val="single" w:color="auto" w:sz="8" w:space="0"/>
            </w:tcBorders>
            <w:vAlign w:val="center"/>
          </w:tcPr>
          <w:p w14:paraId="348F0050">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41" w:type="dxa"/>
            <w:tcBorders>
              <w:top w:val="single" w:color="auto" w:sz="8" w:space="0"/>
              <w:left w:val="nil"/>
              <w:bottom w:val="single" w:color="auto" w:sz="8" w:space="0"/>
              <w:right w:val="single" w:color="auto" w:sz="8" w:space="0"/>
            </w:tcBorders>
            <w:vAlign w:val="center"/>
          </w:tcPr>
          <w:p w14:paraId="11403B49">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800" w:type="dxa"/>
            <w:tcBorders>
              <w:top w:val="single" w:color="auto" w:sz="8" w:space="0"/>
              <w:left w:val="nil"/>
              <w:bottom w:val="single" w:color="auto" w:sz="8" w:space="0"/>
              <w:right w:val="single" w:color="000000" w:sz="8" w:space="0"/>
            </w:tcBorders>
            <w:vAlign w:val="center"/>
          </w:tcPr>
          <w:p w14:paraId="38865E8F">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2250" w:type="dxa"/>
            <w:tcBorders>
              <w:top w:val="single" w:color="auto" w:sz="8" w:space="0"/>
              <w:left w:val="nil"/>
              <w:bottom w:val="single" w:color="auto" w:sz="8" w:space="0"/>
              <w:right w:val="single" w:color="auto" w:sz="8" w:space="0"/>
            </w:tcBorders>
            <w:vAlign w:val="center"/>
          </w:tcPr>
          <w:p w14:paraId="62A1F85B">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555" w:type="dxa"/>
            <w:tcBorders>
              <w:top w:val="single" w:color="auto" w:sz="8" w:space="0"/>
              <w:left w:val="nil"/>
              <w:bottom w:val="single" w:color="auto" w:sz="8" w:space="0"/>
              <w:right w:val="single" w:color="auto" w:sz="8" w:space="0"/>
            </w:tcBorders>
            <w:vAlign w:val="center"/>
          </w:tcPr>
          <w:p w14:paraId="0E7C1385">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677" w:type="dxa"/>
            <w:tcBorders>
              <w:top w:val="single" w:color="auto" w:sz="8" w:space="0"/>
              <w:left w:val="nil"/>
              <w:bottom w:val="single" w:color="auto" w:sz="8" w:space="0"/>
              <w:right w:val="single" w:color="auto" w:sz="8" w:space="0"/>
            </w:tcBorders>
            <w:vAlign w:val="center"/>
          </w:tcPr>
          <w:p w14:paraId="1D8DA697">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single" w:color="auto" w:sz="8" w:space="0"/>
              <w:left w:val="nil"/>
              <w:bottom w:val="single" w:color="auto" w:sz="8" w:space="0"/>
              <w:right w:val="single" w:color="auto" w:sz="8" w:space="0"/>
            </w:tcBorders>
            <w:vAlign w:val="center"/>
          </w:tcPr>
          <w:p w14:paraId="5E29FCE9">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single" w:color="auto" w:sz="8" w:space="0"/>
              <w:left w:val="nil"/>
              <w:bottom w:val="single" w:color="auto" w:sz="8" w:space="0"/>
              <w:right w:val="single" w:color="auto" w:sz="8" w:space="0"/>
            </w:tcBorders>
            <w:vAlign w:val="center"/>
          </w:tcPr>
          <w:p w14:paraId="717943F1">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216" w:type="dxa"/>
            <w:tcBorders>
              <w:top w:val="single" w:color="auto" w:sz="8" w:space="0"/>
              <w:left w:val="nil"/>
              <w:bottom w:val="single" w:color="auto" w:sz="8" w:space="0"/>
              <w:right w:val="single" w:color="auto" w:sz="8" w:space="0"/>
            </w:tcBorders>
            <w:vAlign w:val="center"/>
          </w:tcPr>
          <w:p w14:paraId="677FE775">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95" w:type="dxa"/>
            <w:tcBorders>
              <w:top w:val="single" w:color="auto" w:sz="8" w:space="0"/>
              <w:left w:val="nil"/>
              <w:bottom w:val="single" w:color="auto" w:sz="8" w:space="0"/>
              <w:right w:val="single" w:color="auto" w:sz="8" w:space="0"/>
            </w:tcBorders>
            <w:vAlign w:val="center"/>
          </w:tcPr>
          <w:p w14:paraId="356FD17F">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r>
      <w:tr w14:paraId="066E5ECA">
        <w:tblPrEx>
          <w:tblCellMar>
            <w:top w:w="0" w:type="dxa"/>
            <w:left w:w="57" w:type="dxa"/>
            <w:bottom w:w="0" w:type="dxa"/>
            <w:right w:w="57" w:type="dxa"/>
          </w:tblCellMar>
        </w:tblPrEx>
        <w:trPr>
          <w:trHeight w:val="358" w:hRule="atLeast"/>
          <w:jc w:val="center"/>
        </w:trPr>
        <w:tc>
          <w:tcPr>
            <w:tcW w:w="900" w:type="dxa"/>
            <w:tcBorders>
              <w:top w:val="nil"/>
              <w:left w:val="single" w:color="auto" w:sz="8" w:space="0"/>
              <w:bottom w:val="single" w:color="auto" w:sz="8" w:space="0"/>
              <w:right w:val="single" w:color="auto" w:sz="8" w:space="0"/>
            </w:tcBorders>
            <w:vAlign w:val="center"/>
          </w:tcPr>
          <w:p w14:paraId="0399CAFD">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p>
        </w:tc>
        <w:tc>
          <w:tcPr>
            <w:tcW w:w="968" w:type="dxa"/>
            <w:tcBorders>
              <w:top w:val="nil"/>
              <w:left w:val="nil"/>
              <w:bottom w:val="single" w:color="auto" w:sz="8" w:space="0"/>
              <w:right w:val="single" w:color="auto" w:sz="8" w:space="0"/>
            </w:tcBorders>
            <w:vAlign w:val="center"/>
          </w:tcPr>
          <w:p w14:paraId="6B41BF86">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41" w:type="dxa"/>
            <w:tcBorders>
              <w:top w:val="nil"/>
              <w:left w:val="nil"/>
              <w:bottom w:val="single" w:color="auto" w:sz="8" w:space="0"/>
              <w:right w:val="single" w:color="auto" w:sz="8" w:space="0"/>
            </w:tcBorders>
            <w:vAlign w:val="center"/>
          </w:tcPr>
          <w:p w14:paraId="37C6A76A">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800" w:type="dxa"/>
            <w:tcBorders>
              <w:top w:val="single" w:color="auto" w:sz="8" w:space="0"/>
              <w:left w:val="nil"/>
              <w:bottom w:val="single" w:color="auto" w:sz="8" w:space="0"/>
              <w:right w:val="single" w:color="000000" w:sz="8" w:space="0"/>
            </w:tcBorders>
            <w:vAlign w:val="center"/>
          </w:tcPr>
          <w:p w14:paraId="091B25E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2250" w:type="dxa"/>
            <w:tcBorders>
              <w:top w:val="nil"/>
              <w:left w:val="nil"/>
              <w:bottom w:val="single" w:color="auto" w:sz="8" w:space="0"/>
              <w:right w:val="single" w:color="auto" w:sz="8" w:space="0"/>
            </w:tcBorders>
            <w:vAlign w:val="center"/>
          </w:tcPr>
          <w:p w14:paraId="6DE20A8B">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555" w:type="dxa"/>
            <w:tcBorders>
              <w:top w:val="nil"/>
              <w:left w:val="nil"/>
              <w:bottom w:val="single" w:color="auto" w:sz="8" w:space="0"/>
              <w:right w:val="single" w:color="auto" w:sz="8" w:space="0"/>
            </w:tcBorders>
            <w:vAlign w:val="center"/>
          </w:tcPr>
          <w:p w14:paraId="53DD41AF">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677" w:type="dxa"/>
            <w:tcBorders>
              <w:top w:val="nil"/>
              <w:left w:val="nil"/>
              <w:bottom w:val="single" w:color="auto" w:sz="8" w:space="0"/>
              <w:right w:val="single" w:color="auto" w:sz="8" w:space="0"/>
            </w:tcBorders>
            <w:vAlign w:val="center"/>
          </w:tcPr>
          <w:p w14:paraId="6E34EF0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5E46A8CC">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7F623CD6">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216" w:type="dxa"/>
            <w:tcBorders>
              <w:top w:val="nil"/>
              <w:left w:val="nil"/>
              <w:bottom w:val="single" w:color="auto" w:sz="8" w:space="0"/>
              <w:right w:val="single" w:color="auto" w:sz="8" w:space="0"/>
            </w:tcBorders>
            <w:vAlign w:val="center"/>
          </w:tcPr>
          <w:p w14:paraId="75AB9ACB">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95" w:type="dxa"/>
            <w:tcBorders>
              <w:top w:val="nil"/>
              <w:left w:val="nil"/>
              <w:bottom w:val="single" w:color="auto" w:sz="8" w:space="0"/>
              <w:right w:val="single" w:color="auto" w:sz="8" w:space="0"/>
            </w:tcBorders>
            <w:vAlign w:val="center"/>
          </w:tcPr>
          <w:p w14:paraId="0B659299">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r>
      <w:tr w14:paraId="70ED22DB">
        <w:tblPrEx>
          <w:tblCellMar>
            <w:top w:w="0" w:type="dxa"/>
            <w:left w:w="57" w:type="dxa"/>
            <w:bottom w:w="0" w:type="dxa"/>
            <w:right w:w="57" w:type="dxa"/>
          </w:tblCellMar>
        </w:tblPrEx>
        <w:trPr>
          <w:trHeight w:val="589" w:hRule="atLeast"/>
          <w:jc w:val="center"/>
        </w:trPr>
        <w:tc>
          <w:tcPr>
            <w:tcW w:w="4609" w:type="dxa"/>
            <w:gridSpan w:val="4"/>
            <w:tcBorders>
              <w:top w:val="nil"/>
              <w:left w:val="single" w:color="auto" w:sz="8" w:space="0"/>
              <w:bottom w:val="single" w:color="auto" w:sz="8" w:space="0"/>
              <w:right w:val="single" w:color="000000" w:sz="8" w:space="0"/>
            </w:tcBorders>
            <w:vAlign w:val="center"/>
          </w:tcPr>
          <w:p w14:paraId="4098E1BD">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lang w:eastAsia="zh-CN"/>
              </w:rPr>
              <w:t>合计</w:t>
            </w:r>
          </w:p>
        </w:tc>
        <w:tc>
          <w:tcPr>
            <w:tcW w:w="2250" w:type="dxa"/>
            <w:tcBorders>
              <w:top w:val="nil"/>
              <w:left w:val="nil"/>
              <w:bottom w:val="single" w:color="auto" w:sz="8" w:space="0"/>
              <w:right w:val="single" w:color="auto" w:sz="8" w:space="0"/>
            </w:tcBorders>
            <w:vAlign w:val="center"/>
          </w:tcPr>
          <w:p w14:paraId="2A9E59DF">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555" w:type="dxa"/>
            <w:tcBorders>
              <w:top w:val="nil"/>
              <w:left w:val="nil"/>
              <w:bottom w:val="single" w:color="auto" w:sz="8" w:space="0"/>
              <w:right w:val="single" w:color="auto" w:sz="8" w:space="0"/>
            </w:tcBorders>
            <w:vAlign w:val="center"/>
          </w:tcPr>
          <w:p w14:paraId="7CF8668A">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677" w:type="dxa"/>
            <w:tcBorders>
              <w:top w:val="nil"/>
              <w:left w:val="nil"/>
              <w:bottom w:val="single" w:color="auto" w:sz="8" w:space="0"/>
              <w:right w:val="single" w:color="auto" w:sz="8" w:space="0"/>
            </w:tcBorders>
            <w:vAlign w:val="center"/>
          </w:tcPr>
          <w:p w14:paraId="68484A9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20C09EC5">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4091FD0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216" w:type="dxa"/>
            <w:tcBorders>
              <w:top w:val="nil"/>
              <w:left w:val="nil"/>
              <w:bottom w:val="single" w:color="auto" w:sz="8" w:space="0"/>
              <w:right w:val="single" w:color="auto" w:sz="8" w:space="0"/>
            </w:tcBorders>
            <w:vAlign w:val="center"/>
          </w:tcPr>
          <w:p w14:paraId="2B5E4B06">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95" w:type="dxa"/>
            <w:tcBorders>
              <w:top w:val="nil"/>
              <w:left w:val="nil"/>
              <w:bottom w:val="single" w:color="auto" w:sz="8" w:space="0"/>
              <w:right w:val="single" w:color="auto" w:sz="8" w:space="0"/>
            </w:tcBorders>
            <w:vAlign w:val="center"/>
          </w:tcPr>
          <w:p w14:paraId="251B3F55">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r>
    </w:tbl>
    <w:p w14:paraId="14D08F69">
      <w:pPr>
        <w:widowControl/>
        <w:jc w:val="left"/>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填</w:t>
      </w:r>
      <w:r>
        <w:rPr>
          <w:rFonts w:hint="eastAsia" w:eastAsia="宋体" w:asciiTheme="minorEastAsia" w:hAnsiTheme="minorEastAsia" w:cstheme="minorEastAsia"/>
          <w:color w:val="auto"/>
          <w:sz w:val="21"/>
          <w:szCs w:val="21"/>
        </w:rPr>
        <w:t xml:space="preserve">表人：            </w:t>
      </w:r>
      <w:r>
        <w:rPr>
          <w:rFonts w:hint="eastAsia" w:eastAsia="宋体" w:asciiTheme="minorEastAsia" w:hAnsiTheme="minorEastAsia" w:cstheme="minorEastAsia"/>
          <w:color w:val="auto"/>
          <w:sz w:val="21"/>
          <w:szCs w:val="21"/>
        </w:rPr>
        <w:tab/>
      </w:r>
      <w:r>
        <w:rPr>
          <w:rFonts w:hint="eastAsia" w:eastAsia="宋体" w:asciiTheme="minorEastAsia" w:hAnsiTheme="minorEastAsia" w:cstheme="minorEastAsia"/>
          <w:color w:val="auto"/>
          <w:sz w:val="21"/>
          <w:szCs w:val="21"/>
        </w:rPr>
        <w:t>村（</w:t>
      </w:r>
      <w:r>
        <w:rPr>
          <w:rFonts w:hint="eastAsia" w:eastAsia="宋体" w:asciiTheme="minorEastAsia" w:hAnsiTheme="minorEastAsia" w:cstheme="minorEastAsia"/>
          <w:color w:val="auto"/>
          <w:sz w:val="21"/>
          <w:szCs w:val="21"/>
          <w:lang w:eastAsia="zh-CN"/>
        </w:rPr>
        <w:t>居</w:t>
      </w:r>
      <w:r>
        <w:rPr>
          <w:rFonts w:hint="eastAsia"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集体经济组织负责</w:t>
      </w:r>
      <w:r>
        <w:rPr>
          <w:rFonts w:hint="eastAsia" w:eastAsia="宋体" w:asciiTheme="minorEastAsia" w:hAnsiTheme="minorEastAsia" w:cstheme="minorEastAsia"/>
          <w:color w:val="auto"/>
          <w:sz w:val="21"/>
          <w:szCs w:val="21"/>
        </w:rPr>
        <w:t xml:space="preserve">人：              </w:t>
      </w:r>
      <w:r>
        <w:rPr>
          <w:rFonts w:hint="eastAsia" w:eastAsia="宋体" w:asciiTheme="minorEastAsia" w:hAnsiTheme="minorEastAsia" w:cstheme="minorEastAsia"/>
          <w:color w:val="auto"/>
          <w:sz w:val="21"/>
          <w:szCs w:val="21"/>
        </w:rPr>
        <w:tab/>
      </w:r>
      <w:r>
        <w:rPr>
          <w:rFonts w:hint="eastAsia" w:eastAsia="宋体" w:asciiTheme="minorEastAsia" w:hAnsiTheme="minorEastAsia" w:cstheme="minorEastAsia"/>
          <w:color w:val="auto"/>
          <w:sz w:val="21"/>
          <w:szCs w:val="21"/>
        </w:rPr>
        <w:t>填表日期：     年   月    日</w:t>
      </w:r>
      <w:r>
        <w:rPr>
          <w:rFonts w:hint="eastAsia" w:eastAsia="宋体" w:asciiTheme="minorEastAsia" w:hAnsiTheme="minorEastAsia" w:cstheme="minorEastAsia"/>
          <w:color w:val="auto"/>
          <w:sz w:val="21"/>
          <w:szCs w:val="21"/>
        </w:rPr>
        <w:tab/>
      </w:r>
      <w:r>
        <w:rPr>
          <w:rFonts w:hint="eastAsia" w:eastAsia="宋体" w:asciiTheme="minorEastAsia" w:hAnsiTheme="minorEastAsia" w:cstheme="minorEastAsia"/>
          <w:color w:val="auto"/>
          <w:sz w:val="21"/>
          <w:szCs w:val="21"/>
        </w:rPr>
        <w:t>              第   页（共  页）</w:t>
      </w:r>
    </w:p>
    <w:p w14:paraId="67730C5B">
      <w:pPr>
        <w:widowControl/>
        <w:jc w:val="both"/>
        <w:textAlignment w:val="center"/>
        <w:rPr>
          <w:rFonts w:hint="eastAsia" w:ascii="宋体" w:hAnsi="宋体" w:eastAsia="宋体" w:cs="宋体"/>
          <w:b/>
          <w:color w:val="auto"/>
          <w:kern w:val="0"/>
          <w:sz w:val="21"/>
          <w:szCs w:val="21"/>
          <w:lang w:val="en-US" w:eastAsia="zh-CN"/>
        </w:rPr>
      </w:pPr>
    </w:p>
    <w:p w14:paraId="457C39F6">
      <w:pPr>
        <w:widowControl/>
        <w:jc w:val="both"/>
        <w:textAlignment w:val="center"/>
        <w:rPr>
          <w:rFonts w:hint="eastAsia" w:eastAsia="宋体" w:asciiTheme="minorEastAsia" w:hAnsiTheme="minorEastAsia" w:cstheme="minorEastAsia"/>
          <w:color w:val="auto"/>
          <w:sz w:val="21"/>
          <w:szCs w:val="21"/>
          <w:lang w:eastAsia="zh-CN"/>
        </w:rPr>
      </w:pPr>
      <w:r>
        <w:rPr>
          <w:rFonts w:hint="eastAsia" w:ascii="宋体" w:hAnsi="宋体" w:eastAsia="宋体" w:cs="宋体"/>
          <w:b/>
          <w:color w:val="auto"/>
          <w:kern w:val="0"/>
          <w:sz w:val="21"/>
          <w:szCs w:val="21"/>
          <w:lang w:val="en-US" w:eastAsia="zh-CN"/>
        </w:rPr>
        <w:t>注：</w:t>
      </w:r>
      <w:r>
        <w:rPr>
          <w:rFonts w:hint="eastAsia" w:eastAsia="宋体" w:asciiTheme="minorEastAsia" w:hAnsiTheme="minorEastAsia" w:cstheme="minorEastAsia"/>
          <w:color w:val="auto"/>
          <w:sz w:val="21"/>
          <w:szCs w:val="21"/>
          <w:lang w:val="en-US" w:eastAsia="zh-CN"/>
        </w:rPr>
        <w:t>1.</w:t>
      </w:r>
      <w:r>
        <w:rPr>
          <w:rFonts w:hint="eastAsia" w:eastAsia="宋体" w:asciiTheme="minorEastAsia" w:hAnsiTheme="minorEastAsia" w:cstheme="minorEastAsia"/>
          <w:color w:val="auto"/>
          <w:sz w:val="21"/>
          <w:szCs w:val="21"/>
        </w:rPr>
        <w:t>参加</w:t>
      </w: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保险情况分参加职工养老保险、居民养老保险、未参加</w:t>
      </w: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保险三类，按参加情况打</w:t>
      </w:r>
      <w:r>
        <w:rPr>
          <w:rFonts w:hint="default"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w:t>
      </w:r>
    </w:p>
    <w:p w14:paraId="7306AC5B">
      <w:pPr>
        <w:widowControl/>
        <w:jc w:val="left"/>
        <w:textAlignment w:val="center"/>
        <w:rPr>
          <w:rFonts w:hint="eastAsia" w:eastAsia="宋体" w:asciiTheme="minorEastAsia" w:hAnsiTheme="minorEastAsia" w:cstheme="minorEastAsia"/>
          <w:color w:val="auto"/>
          <w:sz w:val="21"/>
          <w:szCs w:val="21"/>
          <w:lang w:eastAsia="zh-CN"/>
        </w:rPr>
        <w:sectPr>
          <w:pgSz w:w="16839" w:h="11907" w:orient="landscape"/>
          <w:pgMar w:top="1644" w:right="1588" w:bottom="1474" w:left="1701" w:header="720" w:footer="720" w:gutter="0"/>
          <w:pgBorders>
            <w:top w:val="none" w:sz="0" w:space="0"/>
            <w:left w:val="none" w:sz="0" w:space="0"/>
            <w:bottom w:val="none" w:sz="0" w:space="0"/>
            <w:right w:val="none" w:sz="0" w:space="0"/>
          </w:pgBorders>
          <w:cols w:space="720" w:num="1"/>
          <w:docGrid w:type="lines" w:linePitch="286" w:charSpace="0"/>
        </w:sectPr>
      </w:pPr>
      <w:r>
        <w:rPr>
          <w:rFonts w:hint="eastAsia" w:eastAsia="宋体" w:asciiTheme="minorEastAsia" w:hAnsiTheme="minorEastAsia" w:cstheme="minorEastAsia"/>
          <w:color w:val="auto"/>
          <w:sz w:val="21"/>
          <w:szCs w:val="21"/>
          <w:lang w:val="en-US" w:eastAsia="zh-CN"/>
        </w:rPr>
        <w:t xml:space="preserve">    2.个人办理被征地个人缴费时，无需乡镇（街道）</w:t>
      </w:r>
      <w:r>
        <w:rPr>
          <w:rFonts w:hint="eastAsia" w:eastAsia="宋体" w:asciiTheme="minorEastAsia" w:hAnsiTheme="minorEastAsia" w:cstheme="minorEastAsia"/>
          <w:color w:val="auto"/>
          <w:sz w:val="21"/>
          <w:szCs w:val="21"/>
        </w:rPr>
        <w:t>、村（</w:t>
      </w:r>
      <w:r>
        <w:rPr>
          <w:rFonts w:hint="eastAsia" w:eastAsia="宋体" w:asciiTheme="minorEastAsia" w:hAnsiTheme="minorEastAsia" w:cstheme="minorEastAsia"/>
          <w:color w:val="auto"/>
          <w:sz w:val="21"/>
          <w:szCs w:val="21"/>
          <w:lang w:eastAsia="zh-CN"/>
        </w:rPr>
        <w:t>居</w:t>
      </w:r>
      <w:r>
        <w:rPr>
          <w:rFonts w:hint="eastAsia"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集体经济组织</w:t>
      </w:r>
      <w:r>
        <w:rPr>
          <w:rFonts w:hint="eastAsia" w:eastAsia="宋体" w:asciiTheme="minorEastAsia" w:hAnsiTheme="minorEastAsia" w:cstheme="minorEastAsia"/>
          <w:color w:val="auto"/>
          <w:sz w:val="21"/>
          <w:szCs w:val="21"/>
          <w:lang w:val="en-US" w:eastAsia="zh-CN"/>
        </w:rPr>
        <w:t>盖章</w:t>
      </w:r>
      <w:r>
        <w:rPr>
          <w:rFonts w:hint="eastAsia" w:asciiTheme="minorEastAsia" w:hAnsiTheme="minorEastAsia" w:cstheme="minorEastAsia"/>
          <w:color w:val="auto"/>
          <w:sz w:val="21"/>
          <w:szCs w:val="21"/>
          <w:lang w:val="en-US" w:eastAsia="zh-CN"/>
        </w:rPr>
        <w:t>及</w:t>
      </w:r>
      <w:r>
        <w:rPr>
          <w:rFonts w:hint="eastAsia" w:eastAsia="宋体" w:asciiTheme="minorEastAsia" w:hAnsiTheme="minorEastAsia" w:cstheme="minorEastAsia"/>
          <w:color w:val="auto"/>
          <w:sz w:val="21"/>
          <w:szCs w:val="21"/>
        </w:rPr>
        <w:t>村（</w:t>
      </w:r>
      <w:r>
        <w:rPr>
          <w:rFonts w:hint="eastAsia" w:eastAsia="宋体" w:asciiTheme="minorEastAsia" w:hAnsiTheme="minorEastAsia" w:cstheme="minorEastAsia"/>
          <w:color w:val="auto"/>
          <w:sz w:val="21"/>
          <w:szCs w:val="21"/>
          <w:lang w:eastAsia="zh-CN"/>
        </w:rPr>
        <w:t>居</w:t>
      </w:r>
      <w:r>
        <w:rPr>
          <w:rFonts w:hint="eastAsia"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集体经济组织负责</w:t>
      </w:r>
      <w:r>
        <w:rPr>
          <w:rFonts w:hint="eastAsia" w:eastAsia="宋体" w:asciiTheme="minorEastAsia" w:hAnsiTheme="minorEastAsia" w:cstheme="minorEastAsia"/>
          <w:color w:val="auto"/>
          <w:sz w:val="21"/>
          <w:szCs w:val="21"/>
        </w:rPr>
        <w:t>人</w:t>
      </w:r>
      <w:r>
        <w:rPr>
          <w:rFonts w:hint="eastAsia" w:asciiTheme="minorEastAsia" w:hAnsiTheme="minorEastAsia" w:cstheme="minorEastAsia"/>
          <w:color w:val="auto"/>
          <w:sz w:val="21"/>
          <w:szCs w:val="21"/>
          <w:lang w:eastAsia="zh-CN"/>
        </w:rPr>
        <w:t>签章</w:t>
      </w:r>
      <w:r>
        <w:rPr>
          <w:rFonts w:hint="eastAsia" w:eastAsia="宋体" w:asciiTheme="minorEastAsia" w:hAnsiTheme="minorEastAsia" w:cstheme="minorEastAsia"/>
          <w:color w:val="auto"/>
          <w:sz w:val="21"/>
          <w:szCs w:val="21"/>
          <w:lang w:val="en-US" w:eastAsia="zh-CN"/>
        </w:rPr>
        <w:t>。</w:t>
      </w:r>
    </w:p>
    <w:p w14:paraId="52BB0743">
      <w:pP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w:t>
      </w:r>
      <w:r>
        <w:rPr>
          <w:rFonts w:hint="eastAsia" w:ascii="黑体" w:hAnsi="黑体" w:eastAsia="黑体" w:cs="黑体"/>
          <w:color w:val="auto"/>
          <w:sz w:val="32"/>
          <w:szCs w:val="32"/>
        </w:rPr>
        <w:t>4</w:t>
      </w:r>
    </w:p>
    <w:tbl>
      <w:tblPr>
        <w:tblStyle w:val="8"/>
        <w:tblW w:w="14081" w:type="dxa"/>
        <w:tblInd w:w="0" w:type="dxa"/>
        <w:tblLayout w:type="fixed"/>
        <w:tblCellMar>
          <w:top w:w="0" w:type="dxa"/>
          <w:left w:w="108" w:type="dxa"/>
          <w:bottom w:w="0" w:type="dxa"/>
          <w:right w:w="108" w:type="dxa"/>
        </w:tblCellMar>
      </w:tblPr>
      <w:tblGrid>
        <w:gridCol w:w="766"/>
        <w:gridCol w:w="674"/>
        <w:gridCol w:w="1690"/>
        <w:gridCol w:w="1134"/>
        <w:gridCol w:w="756"/>
        <w:gridCol w:w="1364"/>
        <w:gridCol w:w="732"/>
        <w:gridCol w:w="1092"/>
        <w:gridCol w:w="2004"/>
        <w:gridCol w:w="924"/>
        <w:gridCol w:w="1080"/>
        <w:gridCol w:w="1320"/>
        <w:gridCol w:w="545"/>
      </w:tblGrid>
      <w:tr w14:paraId="3C892894">
        <w:tblPrEx>
          <w:tblCellMar>
            <w:top w:w="0" w:type="dxa"/>
            <w:left w:w="108" w:type="dxa"/>
            <w:bottom w:w="0" w:type="dxa"/>
            <w:right w:w="108" w:type="dxa"/>
          </w:tblCellMar>
        </w:tblPrEx>
        <w:trPr>
          <w:trHeight w:val="1002" w:hRule="atLeast"/>
        </w:trPr>
        <w:tc>
          <w:tcPr>
            <w:tcW w:w="14081" w:type="dxa"/>
            <w:gridSpan w:val="13"/>
            <w:tcBorders>
              <w:top w:val="nil"/>
              <w:left w:val="nil"/>
              <w:bottom w:val="nil"/>
              <w:right w:val="nil"/>
            </w:tcBorders>
            <w:shd w:val="clear" w:color="auto" w:fill="auto"/>
            <w:vAlign w:val="center"/>
          </w:tcPr>
          <w:p w14:paraId="40574D10">
            <w:pPr>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被征地农民政府补贴资金一次性支付汇总表</w:t>
            </w:r>
          </w:p>
        </w:tc>
      </w:tr>
      <w:tr w14:paraId="48E57A9D">
        <w:tblPrEx>
          <w:tblCellMar>
            <w:top w:w="0" w:type="dxa"/>
            <w:left w:w="108" w:type="dxa"/>
            <w:bottom w:w="0" w:type="dxa"/>
            <w:right w:w="108" w:type="dxa"/>
          </w:tblCellMar>
        </w:tblPrEx>
        <w:trPr>
          <w:trHeight w:val="499" w:hRule="atLeast"/>
        </w:trPr>
        <w:tc>
          <w:tcPr>
            <w:tcW w:w="11136" w:type="dxa"/>
            <w:gridSpan w:val="10"/>
            <w:tcBorders>
              <w:top w:val="nil"/>
              <w:left w:val="nil"/>
              <w:bottom w:val="nil"/>
              <w:right w:val="nil"/>
            </w:tcBorders>
            <w:shd w:val="clear" w:color="auto" w:fill="auto"/>
            <w:vAlign w:val="center"/>
          </w:tcPr>
          <w:p w14:paraId="43852A7F">
            <w:pPr>
              <w:widowControl/>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村（居）集体经济组织</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eastAsia="宋体"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乡镇（街道）</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eastAsia="宋体" w:asciiTheme="minorEastAsia" w:hAnsiTheme="minorEastAsia" w:cstheme="minorEastAsia"/>
                <w:color w:val="auto"/>
                <w:sz w:val="21"/>
                <w:szCs w:val="21"/>
                <w:lang w:val="en-US" w:eastAsia="zh-CN"/>
              </w:rPr>
              <w:t xml:space="preserve">                        征地批次名称：  </w:t>
            </w:r>
          </w:p>
        </w:tc>
        <w:tc>
          <w:tcPr>
            <w:tcW w:w="2945" w:type="dxa"/>
            <w:gridSpan w:val="3"/>
            <w:tcBorders>
              <w:top w:val="nil"/>
              <w:left w:val="nil"/>
              <w:bottom w:val="nil"/>
              <w:right w:val="nil"/>
            </w:tcBorders>
            <w:shd w:val="clear" w:color="auto" w:fill="auto"/>
            <w:vAlign w:val="center"/>
          </w:tcPr>
          <w:p w14:paraId="699BB235">
            <w:pPr>
              <w:widowControl/>
              <w:jc w:val="center"/>
              <w:textAlignment w:val="center"/>
              <w:rPr>
                <w:rFonts w:hint="eastAsia" w:eastAsia="宋体" w:asciiTheme="minorEastAsia" w:hAnsiTheme="minorEastAsia" w:cstheme="minorEastAsia"/>
                <w:color w:val="auto"/>
                <w:sz w:val="21"/>
                <w:szCs w:val="21"/>
              </w:rPr>
            </w:pPr>
          </w:p>
        </w:tc>
      </w:tr>
      <w:tr w14:paraId="66DD8316">
        <w:tblPrEx>
          <w:tblCellMar>
            <w:top w:w="0" w:type="dxa"/>
            <w:left w:w="108" w:type="dxa"/>
            <w:bottom w:w="0" w:type="dxa"/>
            <w:right w:w="108" w:type="dxa"/>
          </w:tblCellMar>
        </w:tblPrEx>
        <w:trPr>
          <w:trHeight w:val="499" w:hRule="atLeast"/>
        </w:trPr>
        <w:tc>
          <w:tcPr>
            <w:tcW w:w="7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0C8B668">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序号</w:t>
            </w:r>
          </w:p>
        </w:tc>
        <w:tc>
          <w:tcPr>
            <w:tcW w:w="6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B26C90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姓名</w:t>
            </w:r>
          </w:p>
        </w:tc>
        <w:tc>
          <w:tcPr>
            <w:tcW w:w="16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BA6F8E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公民身份号码</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B54FDF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返还金额</w:t>
            </w:r>
          </w:p>
          <w:p w14:paraId="317DB0B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（元）</w:t>
            </w:r>
          </w:p>
        </w:tc>
        <w:tc>
          <w:tcPr>
            <w:tcW w:w="2852" w:type="dxa"/>
            <w:gridSpan w:val="3"/>
            <w:tcBorders>
              <w:top w:val="single" w:color="auto" w:sz="4" w:space="0"/>
              <w:left w:val="nil"/>
              <w:bottom w:val="single" w:color="auto" w:sz="4" w:space="0"/>
              <w:right w:val="nil"/>
            </w:tcBorders>
            <w:shd w:val="clear" w:color="auto" w:fill="auto"/>
            <w:vAlign w:val="center"/>
          </w:tcPr>
          <w:p w14:paraId="6CE48DB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返还原因</w:t>
            </w:r>
          </w:p>
        </w:tc>
        <w:tc>
          <w:tcPr>
            <w:tcW w:w="10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D4B127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返还银行名    称</w:t>
            </w:r>
          </w:p>
        </w:tc>
        <w:tc>
          <w:tcPr>
            <w:tcW w:w="20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65CF77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返还银行账号</w:t>
            </w:r>
          </w:p>
        </w:tc>
        <w:tc>
          <w:tcPr>
            <w:tcW w:w="9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FED099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受益人姓  名</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B933DF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受益人身份号码</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315B5A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受益人与</w:t>
            </w:r>
          </w:p>
          <w:p w14:paraId="60E6D48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参保人关系</w:t>
            </w:r>
          </w:p>
        </w:tc>
        <w:tc>
          <w:tcPr>
            <w:tcW w:w="5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CD5EAE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备注</w:t>
            </w:r>
          </w:p>
        </w:tc>
      </w:tr>
      <w:tr w14:paraId="1BDE3E71">
        <w:tblPrEx>
          <w:tblCellMar>
            <w:top w:w="0" w:type="dxa"/>
            <w:left w:w="108" w:type="dxa"/>
            <w:bottom w:w="0" w:type="dxa"/>
            <w:right w:w="108" w:type="dxa"/>
          </w:tblCellMar>
        </w:tblPrEx>
        <w:trPr>
          <w:trHeight w:val="499" w:hRule="atLeast"/>
        </w:trPr>
        <w:tc>
          <w:tcPr>
            <w:tcW w:w="766" w:type="dxa"/>
            <w:vMerge w:val="continue"/>
            <w:tcBorders>
              <w:top w:val="single" w:color="auto" w:sz="4" w:space="0"/>
              <w:left w:val="single" w:color="auto" w:sz="4" w:space="0"/>
              <w:bottom w:val="single" w:color="000000" w:sz="4" w:space="0"/>
              <w:right w:val="single" w:color="auto" w:sz="4" w:space="0"/>
            </w:tcBorders>
            <w:vAlign w:val="center"/>
          </w:tcPr>
          <w:p w14:paraId="7E233F8C">
            <w:pPr>
              <w:widowControl/>
              <w:jc w:val="center"/>
              <w:textAlignment w:val="center"/>
              <w:rPr>
                <w:rFonts w:hint="eastAsia" w:eastAsia="宋体" w:asciiTheme="minorEastAsia" w:hAnsiTheme="minorEastAsia" w:cstheme="minorEastAsia"/>
                <w:color w:val="auto"/>
                <w:sz w:val="21"/>
                <w:szCs w:val="21"/>
              </w:rPr>
            </w:pPr>
          </w:p>
        </w:tc>
        <w:tc>
          <w:tcPr>
            <w:tcW w:w="674" w:type="dxa"/>
            <w:vMerge w:val="continue"/>
            <w:tcBorders>
              <w:top w:val="single" w:color="auto" w:sz="4" w:space="0"/>
              <w:left w:val="single" w:color="auto" w:sz="4" w:space="0"/>
              <w:bottom w:val="single" w:color="000000" w:sz="4" w:space="0"/>
              <w:right w:val="single" w:color="auto" w:sz="4" w:space="0"/>
            </w:tcBorders>
            <w:vAlign w:val="center"/>
          </w:tcPr>
          <w:p w14:paraId="3A83BB29">
            <w:pPr>
              <w:widowControl/>
              <w:jc w:val="center"/>
              <w:textAlignment w:val="center"/>
              <w:rPr>
                <w:rFonts w:hint="eastAsia" w:eastAsia="宋体" w:asciiTheme="minorEastAsia" w:hAnsiTheme="minorEastAsia" w:cstheme="minorEastAsia"/>
                <w:color w:val="auto"/>
                <w:sz w:val="21"/>
                <w:szCs w:val="21"/>
              </w:rPr>
            </w:pPr>
          </w:p>
        </w:tc>
        <w:tc>
          <w:tcPr>
            <w:tcW w:w="1690" w:type="dxa"/>
            <w:vMerge w:val="continue"/>
            <w:tcBorders>
              <w:top w:val="single" w:color="auto" w:sz="4" w:space="0"/>
              <w:left w:val="single" w:color="auto" w:sz="4" w:space="0"/>
              <w:bottom w:val="single" w:color="000000" w:sz="4" w:space="0"/>
              <w:right w:val="single" w:color="auto" w:sz="4" w:space="0"/>
            </w:tcBorders>
            <w:vAlign w:val="center"/>
          </w:tcPr>
          <w:p w14:paraId="0EBDA7FC">
            <w:pPr>
              <w:widowControl/>
              <w:jc w:val="center"/>
              <w:textAlignment w:val="center"/>
              <w:rPr>
                <w:rFonts w:hint="eastAsia" w:eastAsia="宋体" w:asciiTheme="minorEastAsia" w:hAnsiTheme="minorEastAsia" w:cstheme="minorEastAsia"/>
                <w:color w:val="auto"/>
                <w:sz w:val="21"/>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61206B1">
            <w:pPr>
              <w:widowControl/>
              <w:jc w:val="center"/>
              <w:textAlignment w:val="center"/>
              <w:rPr>
                <w:rFonts w:hint="eastAsia" w:eastAsia="宋体" w:asciiTheme="minorEastAsia" w:hAnsiTheme="minorEastAsia" w:cstheme="minorEastAsia"/>
                <w:color w:val="auto"/>
                <w:sz w:val="21"/>
                <w:szCs w:val="21"/>
              </w:rPr>
            </w:pPr>
          </w:p>
        </w:tc>
        <w:tc>
          <w:tcPr>
            <w:tcW w:w="756" w:type="dxa"/>
            <w:tcBorders>
              <w:top w:val="nil"/>
              <w:left w:val="nil"/>
              <w:bottom w:val="single" w:color="auto" w:sz="4" w:space="0"/>
              <w:right w:val="single" w:color="auto" w:sz="4" w:space="0"/>
            </w:tcBorders>
            <w:shd w:val="clear" w:color="auto" w:fill="auto"/>
            <w:vAlign w:val="center"/>
          </w:tcPr>
          <w:p w14:paraId="30A3D724">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死亡</w:t>
            </w:r>
          </w:p>
        </w:tc>
        <w:tc>
          <w:tcPr>
            <w:tcW w:w="1364" w:type="dxa"/>
            <w:tcBorders>
              <w:top w:val="nil"/>
              <w:left w:val="nil"/>
              <w:bottom w:val="single" w:color="auto" w:sz="4" w:space="0"/>
              <w:right w:val="single" w:color="auto" w:sz="4" w:space="0"/>
            </w:tcBorders>
            <w:shd w:val="clear" w:color="auto" w:fill="auto"/>
            <w:vAlign w:val="center"/>
          </w:tcPr>
          <w:p w14:paraId="1840420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享受职工养老保险待遇</w:t>
            </w:r>
          </w:p>
        </w:tc>
        <w:tc>
          <w:tcPr>
            <w:tcW w:w="732" w:type="dxa"/>
            <w:tcBorders>
              <w:top w:val="nil"/>
              <w:left w:val="nil"/>
              <w:bottom w:val="single" w:color="auto" w:sz="4" w:space="0"/>
              <w:right w:val="single" w:color="auto" w:sz="4" w:space="0"/>
            </w:tcBorders>
            <w:shd w:val="clear" w:color="auto" w:fill="auto"/>
            <w:vAlign w:val="center"/>
          </w:tcPr>
          <w:p w14:paraId="2119073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其他</w:t>
            </w:r>
          </w:p>
        </w:tc>
        <w:tc>
          <w:tcPr>
            <w:tcW w:w="1092" w:type="dxa"/>
            <w:vMerge w:val="continue"/>
            <w:tcBorders>
              <w:top w:val="single" w:color="auto" w:sz="4" w:space="0"/>
              <w:left w:val="single" w:color="auto" w:sz="4" w:space="0"/>
              <w:bottom w:val="single" w:color="000000" w:sz="4" w:space="0"/>
              <w:right w:val="single" w:color="auto" w:sz="4" w:space="0"/>
            </w:tcBorders>
            <w:vAlign w:val="center"/>
          </w:tcPr>
          <w:p w14:paraId="3CFA4817">
            <w:pPr>
              <w:widowControl/>
              <w:jc w:val="center"/>
              <w:textAlignment w:val="center"/>
              <w:rPr>
                <w:rFonts w:hint="eastAsia" w:eastAsia="宋体" w:asciiTheme="minorEastAsia" w:hAnsiTheme="minorEastAsia" w:cstheme="minorEastAsia"/>
                <w:color w:val="auto"/>
                <w:sz w:val="21"/>
                <w:szCs w:val="21"/>
              </w:rPr>
            </w:pPr>
          </w:p>
        </w:tc>
        <w:tc>
          <w:tcPr>
            <w:tcW w:w="2004" w:type="dxa"/>
            <w:vMerge w:val="continue"/>
            <w:tcBorders>
              <w:top w:val="single" w:color="auto" w:sz="4" w:space="0"/>
              <w:left w:val="single" w:color="auto" w:sz="4" w:space="0"/>
              <w:bottom w:val="single" w:color="000000" w:sz="4" w:space="0"/>
              <w:right w:val="single" w:color="auto" w:sz="4" w:space="0"/>
            </w:tcBorders>
            <w:vAlign w:val="center"/>
          </w:tcPr>
          <w:p w14:paraId="1792B58B">
            <w:pPr>
              <w:widowControl/>
              <w:jc w:val="center"/>
              <w:textAlignment w:val="center"/>
              <w:rPr>
                <w:rFonts w:hint="eastAsia" w:eastAsia="宋体" w:asciiTheme="minorEastAsia" w:hAnsiTheme="minorEastAsia" w:cstheme="minorEastAsia"/>
                <w:color w:val="auto"/>
                <w:sz w:val="21"/>
                <w:szCs w:val="21"/>
              </w:rPr>
            </w:pPr>
          </w:p>
        </w:tc>
        <w:tc>
          <w:tcPr>
            <w:tcW w:w="924" w:type="dxa"/>
            <w:vMerge w:val="continue"/>
            <w:tcBorders>
              <w:top w:val="single" w:color="auto" w:sz="4" w:space="0"/>
              <w:left w:val="single" w:color="auto" w:sz="4" w:space="0"/>
              <w:bottom w:val="single" w:color="000000" w:sz="4" w:space="0"/>
              <w:right w:val="single" w:color="auto" w:sz="4" w:space="0"/>
            </w:tcBorders>
            <w:vAlign w:val="center"/>
          </w:tcPr>
          <w:p w14:paraId="53996F5E">
            <w:pPr>
              <w:widowControl/>
              <w:jc w:val="center"/>
              <w:textAlignment w:val="center"/>
              <w:rPr>
                <w:rFonts w:hint="eastAsia" w:eastAsia="宋体" w:asciiTheme="minorEastAsia" w:hAnsiTheme="minorEastAsia" w:cstheme="minorEastAsia"/>
                <w:color w:val="auto"/>
                <w:sz w:val="21"/>
                <w:szCs w:val="21"/>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758ECCAE">
            <w:pPr>
              <w:widowControl/>
              <w:jc w:val="center"/>
              <w:textAlignment w:val="center"/>
              <w:rPr>
                <w:rFonts w:hint="eastAsia" w:eastAsia="宋体" w:asciiTheme="minorEastAsia" w:hAnsiTheme="minorEastAsia" w:cstheme="minorEastAsia"/>
                <w:color w:val="auto"/>
                <w:sz w:val="21"/>
                <w:szCs w:val="21"/>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14:paraId="5385EA03">
            <w:pPr>
              <w:widowControl/>
              <w:jc w:val="center"/>
              <w:textAlignment w:val="center"/>
              <w:rPr>
                <w:rFonts w:hint="eastAsia" w:eastAsia="宋体" w:asciiTheme="minorEastAsia" w:hAnsiTheme="minorEastAsia" w:cstheme="minorEastAsia"/>
                <w:color w:val="auto"/>
                <w:sz w:val="21"/>
                <w:szCs w:val="21"/>
              </w:rPr>
            </w:pPr>
          </w:p>
        </w:tc>
        <w:tc>
          <w:tcPr>
            <w:tcW w:w="545" w:type="dxa"/>
            <w:vMerge w:val="continue"/>
            <w:tcBorders>
              <w:top w:val="single" w:color="auto" w:sz="4" w:space="0"/>
              <w:left w:val="single" w:color="auto" w:sz="4" w:space="0"/>
              <w:bottom w:val="single" w:color="000000" w:sz="4" w:space="0"/>
              <w:right w:val="single" w:color="auto" w:sz="4" w:space="0"/>
            </w:tcBorders>
            <w:vAlign w:val="center"/>
          </w:tcPr>
          <w:p w14:paraId="0C9770E7">
            <w:pPr>
              <w:widowControl/>
              <w:jc w:val="center"/>
              <w:textAlignment w:val="center"/>
              <w:rPr>
                <w:rFonts w:hint="eastAsia" w:eastAsia="宋体" w:asciiTheme="minorEastAsia" w:hAnsiTheme="minorEastAsia" w:cstheme="minorEastAsia"/>
                <w:color w:val="auto"/>
                <w:sz w:val="21"/>
                <w:szCs w:val="21"/>
              </w:rPr>
            </w:pPr>
          </w:p>
        </w:tc>
      </w:tr>
      <w:tr w14:paraId="20E9AF8B">
        <w:tblPrEx>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32CE4458">
            <w:pPr>
              <w:widowControl/>
              <w:jc w:val="center"/>
              <w:textAlignment w:val="center"/>
              <w:rPr>
                <w:rFonts w:hint="eastAsia" w:eastAsia="宋体" w:asciiTheme="minorEastAsia" w:hAnsiTheme="minorEastAsia" w:cstheme="minorEastAsia"/>
                <w:color w:val="auto"/>
                <w:sz w:val="21"/>
                <w:szCs w:val="21"/>
              </w:rPr>
            </w:pPr>
          </w:p>
        </w:tc>
        <w:tc>
          <w:tcPr>
            <w:tcW w:w="674" w:type="dxa"/>
            <w:tcBorders>
              <w:top w:val="nil"/>
              <w:left w:val="nil"/>
              <w:bottom w:val="single" w:color="auto" w:sz="4" w:space="0"/>
              <w:right w:val="single" w:color="auto" w:sz="4" w:space="0"/>
            </w:tcBorders>
            <w:shd w:val="clear" w:color="auto" w:fill="auto"/>
            <w:vAlign w:val="center"/>
          </w:tcPr>
          <w:p w14:paraId="24D8DD0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690" w:type="dxa"/>
            <w:tcBorders>
              <w:top w:val="nil"/>
              <w:left w:val="nil"/>
              <w:bottom w:val="single" w:color="auto" w:sz="4" w:space="0"/>
              <w:right w:val="single" w:color="auto" w:sz="4" w:space="0"/>
            </w:tcBorders>
            <w:shd w:val="clear" w:color="auto" w:fill="auto"/>
            <w:vAlign w:val="center"/>
          </w:tcPr>
          <w:p w14:paraId="66A21E2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524DC1B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56" w:type="dxa"/>
            <w:tcBorders>
              <w:top w:val="nil"/>
              <w:left w:val="nil"/>
              <w:bottom w:val="single" w:color="auto" w:sz="4" w:space="0"/>
              <w:right w:val="single" w:color="auto" w:sz="4" w:space="0"/>
            </w:tcBorders>
            <w:shd w:val="clear" w:color="auto" w:fill="auto"/>
            <w:vAlign w:val="center"/>
          </w:tcPr>
          <w:p w14:paraId="7217110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64" w:type="dxa"/>
            <w:tcBorders>
              <w:top w:val="nil"/>
              <w:left w:val="nil"/>
              <w:bottom w:val="single" w:color="auto" w:sz="4" w:space="0"/>
              <w:right w:val="single" w:color="auto" w:sz="4" w:space="0"/>
            </w:tcBorders>
            <w:shd w:val="clear" w:color="auto" w:fill="auto"/>
            <w:vAlign w:val="center"/>
          </w:tcPr>
          <w:p w14:paraId="44C879D3">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32" w:type="dxa"/>
            <w:tcBorders>
              <w:top w:val="nil"/>
              <w:left w:val="nil"/>
              <w:bottom w:val="single" w:color="auto" w:sz="4" w:space="0"/>
              <w:right w:val="single" w:color="auto" w:sz="4" w:space="0"/>
            </w:tcBorders>
            <w:shd w:val="clear" w:color="auto" w:fill="auto"/>
            <w:vAlign w:val="center"/>
          </w:tcPr>
          <w:p w14:paraId="1C466D1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92" w:type="dxa"/>
            <w:tcBorders>
              <w:top w:val="nil"/>
              <w:left w:val="nil"/>
              <w:bottom w:val="single" w:color="auto" w:sz="4" w:space="0"/>
              <w:right w:val="single" w:color="auto" w:sz="4" w:space="0"/>
            </w:tcBorders>
            <w:shd w:val="clear" w:color="auto" w:fill="auto"/>
            <w:vAlign w:val="center"/>
          </w:tcPr>
          <w:p w14:paraId="2CBCC504">
            <w:pPr>
              <w:widowControl/>
              <w:jc w:val="center"/>
              <w:textAlignment w:val="center"/>
              <w:rPr>
                <w:rFonts w:hint="eastAsia" w:eastAsia="宋体" w:asciiTheme="minorEastAsia" w:hAnsiTheme="minorEastAsia" w:cstheme="minorEastAsia"/>
                <w:color w:val="auto"/>
                <w:sz w:val="21"/>
                <w:szCs w:val="21"/>
              </w:rPr>
            </w:pPr>
          </w:p>
        </w:tc>
        <w:tc>
          <w:tcPr>
            <w:tcW w:w="2004" w:type="dxa"/>
            <w:tcBorders>
              <w:top w:val="nil"/>
              <w:left w:val="nil"/>
              <w:bottom w:val="single" w:color="auto" w:sz="4" w:space="0"/>
              <w:right w:val="single" w:color="auto" w:sz="4" w:space="0"/>
            </w:tcBorders>
            <w:shd w:val="clear" w:color="auto" w:fill="auto"/>
            <w:vAlign w:val="center"/>
          </w:tcPr>
          <w:p w14:paraId="30C5909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24" w:type="dxa"/>
            <w:tcBorders>
              <w:top w:val="nil"/>
              <w:left w:val="nil"/>
              <w:bottom w:val="nil"/>
              <w:right w:val="nil"/>
            </w:tcBorders>
            <w:shd w:val="clear" w:color="auto" w:fill="auto"/>
            <w:vAlign w:val="bottom"/>
          </w:tcPr>
          <w:p w14:paraId="5403ACAC">
            <w:pPr>
              <w:widowControl/>
              <w:jc w:val="center"/>
              <w:textAlignment w:val="center"/>
              <w:rPr>
                <w:rFonts w:hint="eastAsia" w:eastAsia="宋体" w:asciiTheme="minorEastAsia" w:hAnsiTheme="minorEastAsia" w:cstheme="minorEastAsia"/>
                <w:color w:val="auto"/>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5811B268">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20" w:type="dxa"/>
            <w:tcBorders>
              <w:top w:val="nil"/>
              <w:left w:val="nil"/>
              <w:bottom w:val="single" w:color="auto" w:sz="4" w:space="0"/>
              <w:right w:val="single" w:color="auto" w:sz="4" w:space="0"/>
            </w:tcBorders>
            <w:shd w:val="clear" w:color="auto" w:fill="auto"/>
            <w:vAlign w:val="center"/>
          </w:tcPr>
          <w:p w14:paraId="06D8737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545" w:type="dxa"/>
            <w:tcBorders>
              <w:top w:val="nil"/>
              <w:left w:val="nil"/>
              <w:bottom w:val="single" w:color="auto" w:sz="4" w:space="0"/>
              <w:right w:val="single" w:color="auto" w:sz="4" w:space="0"/>
            </w:tcBorders>
            <w:shd w:val="clear" w:color="auto" w:fill="auto"/>
            <w:vAlign w:val="center"/>
          </w:tcPr>
          <w:p w14:paraId="56C92FB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1C91544A">
        <w:tblPrEx>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1133D635">
            <w:pPr>
              <w:widowControl/>
              <w:jc w:val="center"/>
              <w:textAlignment w:val="center"/>
              <w:rPr>
                <w:rFonts w:hint="eastAsia" w:eastAsia="宋体" w:asciiTheme="minorEastAsia" w:hAnsiTheme="minorEastAsia" w:cstheme="minorEastAsia"/>
                <w:color w:val="auto"/>
                <w:sz w:val="21"/>
                <w:szCs w:val="21"/>
              </w:rPr>
            </w:pPr>
          </w:p>
        </w:tc>
        <w:tc>
          <w:tcPr>
            <w:tcW w:w="674" w:type="dxa"/>
            <w:tcBorders>
              <w:top w:val="nil"/>
              <w:left w:val="nil"/>
              <w:bottom w:val="single" w:color="auto" w:sz="4" w:space="0"/>
              <w:right w:val="single" w:color="auto" w:sz="4" w:space="0"/>
            </w:tcBorders>
            <w:shd w:val="clear" w:color="auto" w:fill="auto"/>
            <w:vAlign w:val="center"/>
          </w:tcPr>
          <w:p w14:paraId="236C6D0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690" w:type="dxa"/>
            <w:tcBorders>
              <w:top w:val="nil"/>
              <w:left w:val="nil"/>
              <w:bottom w:val="single" w:color="auto" w:sz="4" w:space="0"/>
              <w:right w:val="single" w:color="auto" w:sz="4" w:space="0"/>
            </w:tcBorders>
            <w:shd w:val="clear" w:color="auto" w:fill="auto"/>
            <w:vAlign w:val="center"/>
          </w:tcPr>
          <w:p w14:paraId="42E6723D">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4240148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56" w:type="dxa"/>
            <w:tcBorders>
              <w:top w:val="nil"/>
              <w:left w:val="nil"/>
              <w:bottom w:val="single" w:color="auto" w:sz="4" w:space="0"/>
              <w:right w:val="single" w:color="auto" w:sz="4" w:space="0"/>
            </w:tcBorders>
            <w:shd w:val="clear" w:color="auto" w:fill="auto"/>
            <w:vAlign w:val="center"/>
          </w:tcPr>
          <w:p w14:paraId="54FB11F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64" w:type="dxa"/>
            <w:tcBorders>
              <w:top w:val="nil"/>
              <w:left w:val="nil"/>
              <w:bottom w:val="single" w:color="auto" w:sz="4" w:space="0"/>
              <w:right w:val="single" w:color="auto" w:sz="4" w:space="0"/>
            </w:tcBorders>
            <w:shd w:val="clear" w:color="auto" w:fill="auto"/>
            <w:vAlign w:val="center"/>
          </w:tcPr>
          <w:p w14:paraId="7C9D0A8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32" w:type="dxa"/>
            <w:tcBorders>
              <w:top w:val="nil"/>
              <w:left w:val="nil"/>
              <w:bottom w:val="single" w:color="auto" w:sz="4" w:space="0"/>
              <w:right w:val="single" w:color="auto" w:sz="4" w:space="0"/>
            </w:tcBorders>
            <w:shd w:val="clear" w:color="auto" w:fill="auto"/>
            <w:vAlign w:val="center"/>
          </w:tcPr>
          <w:p w14:paraId="57C24EA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92" w:type="dxa"/>
            <w:tcBorders>
              <w:top w:val="nil"/>
              <w:left w:val="nil"/>
              <w:bottom w:val="single" w:color="auto" w:sz="4" w:space="0"/>
              <w:right w:val="single" w:color="auto" w:sz="4" w:space="0"/>
            </w:tcBorders>
            <w:shd w:val="clear" w:color="auto" w:fill="auto"/>
            <w:vAlign w:val="center"/>
          </w:tcPr>
          <w:p w14:paraId="3D32257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2004" w:type="dxa"/>
            <w:tcBorders>
              <w:top w:val="nil"/>
              <w:left w:val="nil"/>
              <w:bottom w:val="single" w:color="auto" w:sz="4" w:space="0"/>
              <w:right w:val="single" w:color="auto" w:sz="4" w:space="0"/>
            </w:tcBorders>
            <w:shd w:val="clear" w:color="auto" w:fill="auto"/>
            <w:vAlign w:val="center"/>
          </w:tcPr>
          <w:p w14:paraId="5C2FAFC4">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A37171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80" w:type="dxa"/>
            <w:tcBorders>
              <w:top w:val="nil"/>
              <w:left w:val="nil"/>
              <w:bottom w:val="single" w:color="auto" w:sz="4" w:space="0"/>
              <w:right w:val="single" w:color="auto" w:sz="4" w:space="0"/>
            </w:tcBorders>
            <w:shd w:val="clear" w:color="auto" w:fill="auto"/>
            <w:vAlign w:val="center"/>
          </w:tcPr>
          <w:p w14:paraId="395DD5F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20" w:type="dxa"/>
            <w:tcBorders>
              <w:top w:val="nil"/>
              <w:left w:val="nil"/>
              <w:bottom w:val="single" w:color="auto" w:sz="4" w:space="0"/>
              <w:right w:val="single" w:color="auto" w:sz="4" w:space="0"/>
            </w:tcBorders>
            <w:shd w:val="clear" w:color="auto" w:fill="auto"/>
            <w:vAlign w:val="center"/>
          </w:tcPr>
          <w:p w14:paraId="385E4681">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545" w:type="dxa"/>
            <w:tcBorders>
              <w:top w:val="nil"/>
              <w:left w:val="nil"/>
              <w:bottom w:val="single" w:color="auto" w:sz="4" w:space="0"/>
              <w:right w:val="single" w:color="auto" w:sz="4" w:space="0"/>
            </w:tcBorders>
            <w:shd w:val="clear" w:color="auto" w:fill="auto"/>
            <w:vAlign w:val="center"/>
          </w:tcPr>
          <w:p w14:paraId="64FF470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67C2DAAD">
        <w:tblPrEx>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3613D281">
            <w:pPr>
              <w:widowControl/>
              <w:jc w:val="center"/>
              <w:textAlignment w:val="center"/>
              <w:rPr>
                <w:rFonts w:hint="eastAsia" w:eastAsia="宋体" w:asciiTheme="minorEastAsia" w:hAnsiTheme="minorEastAsia" w:cstheme="minorEastAsia"/>
                <w:color w:val="auto"/>
                <w:sz w:val="21"/>
                <w:szCs w:val="21"/>
              </w:rPr>
            </w:pPr>
          </w:p>
        </w:tc>
        <w:tc>
          <w:tcPr>
            <w:tcW w:w="674" w:type="dxa"/>
            <w:tcBorders>
              <w:top w:val="nil"/>
              <w:left w:val="nil"/>
              <w:bottom w:val="single" w:color="auto" w:sz="4" w:space="0"/>
              <w:right w:val="single" w:color="auto" w:sz="4" w:space="0"/>
            </w:tcBorders>
            <w:shd w:val="clear" w:color="auto" w:fill="auto"/>
            <w:vAlign w:val="center"/>
          </w:tcPr>
          <w:p w14:paraId="480FD65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690" w:type="dxa"/>
            <w:tcBorders>
              <w:top w:val="nil"/>
              <w:left w:val="nil"/>
              <w:bottom w:val="single" w:color="auto" w:sz="4" w:space="0"/>
              <w:right w:val="single" w:color="auto" w:sz="4" w:space="0"/>
            </w:tcBorders>
            <w:shd w:val="clear" w:color="auto" w:fill="auto"/>
            <w:vAlign w:val="center"/>
          </w:tcPr>
          <w:p w14:paraId="59404FB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6B93891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56" w:type="dxa"/>
            <w:tcBorders>
              <w:top w:val="nil"/>
              <w:left w:val="nil"/>
              <w:bottom w:val="single" w:color="auto" w:sz="4" w:space="0"/>
              <w:right w:val="single" w:color="auto" w:sz="4" w:space="0"/>
            </w:tcBorders>
            <w:shd w:val="clear" w:color="auto" w:fill="auto"/>
            <w:vAlign w:val="center"/>
          </w:tcPr>
          <w:p w14:paraId="4313ABD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64" w:type="dxa"/>
            <w:tcBorders>
              <w:top w:val="nil"/>
              <w:left w:val="nil"/>
              <w:bottom w:val="single" w:color="auto" w:sz="4" w:space="0"/>
              <w:right w:val="single" w:color="auto" w:sz="4" w:space="0"/>
            </w:tcBorders>
            <w:shd w:val="clear" w:color="auto" w:fill="auto"/>
            <w:vAlign w:val="center"/>
          </w:tcPr>
          <w:p w14:paraId="632285F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32" w:type="dxa"/>
            <w:tcBorders>
              <w:top w:val="nil"/>
              <w:left w:val="nil"/>
              <w:bottom w:val="single" w:color="auto" w:sz="4" w:space="0"/>
              <w:right w:val="single" w:color="auto" w:sz="4" w:space="0"/>
            </w:tcBorders>
            <w:shd w:val="clear" w:color="auto" w:fill="auto"/>
            <w:vAlign w:val="center"/>
          </w:tcPr>
          <w:p w14:paraId="3D8AE7A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92" w:type="dxa"/>
            <w:tcBorders>
              <w:top w:val="nil"/>
              <w:left w:val="nil"/>
              <w:bottom w:val="single" w:color="auto" w:sz="4" w:space="0"/>
              <w:right w:val="single" w:color="auto" w:sz="4" w:space="0"/>
            </w:tcBorders>
            <w:shd w:val="clear" w:color="auto" w:fill="auto"/>
            <w:vAlign w:val="center"/>
          </w:tcPr>
          <w:p w14:paraId="02027FB1">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2004" w:type="dxa"/>
            <w:tcBorders>
              <w:top w:val="nil"/>
              <w:left w:val="nil"/>
              <w:bottom w:val="single" w:color="auto" w:sz="4" w:space="0"/>
              <w:right w:val="single" w:color="auto" w:sz="4" w:space="0"/>
            </w:tcBorders>
            <w:shd w:val="clear" w:color="auto" w:fill="auto"/>
            <w:vAlign w:val="center"/>
          </w:tcPr>
          <w:p w14:paraId="52CCBD6D">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24" w:type="dxa"/>
            <w:tcBorders>
              <w:top w:val="nil"/>
              <w:left w:val="nil"/>
              <w:bottom w:val="single" w:color="auto" w:sz="4" w:space="0"/>
              <w:right w:val="single" w:color="auto" w:sz="4" w:space="0"/>
            </w:tcBorders>
            <w:shd w:val="clear" w:color="auto" w:fill="auto"/>
            <w:vAlign w:val="center"/>
          </w:tcPr>
          <w:p w14:paraId="0D1F059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80" w:type="dxa"/>
            <w:tcBorders>
              <w:top w:val="nil"/>
              <w:left w:val="nil"/>
              <w:bottom w:val="single" w:color="auto" w:sz="4" w:space="0"/>
              <w:right w:val="single" w:color="auto" w:sz="4" w:space="0"/>
            </w:tcBorders>
            <w:shd w:val="clear" w:color="auto" w:fill="auto"/>
            <w:vAlign w:val="center"/>
          </w:tcPr>
          <w:p w14:paraId="54684CC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20" w:type="dxa"/>
            <w:tcBorders>
              <w:top w:val="nil"/>
              <w:left w:val="nil"/>
              <w:bottom w:val="single" w:color="auto" w:sz="4" w:space="0"/>
              <w:right w:val="single" w:color="auto" w:sz="4" w:space="0"/>
            </w:tcBorders>
            <w:shd w:val="clear" w:color="auto" w:fill="auto"/>
            <w:vAlign w:val="center"/>
          </w:tcPr>
          <w:p w14:paraId="6C0BC8A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545" w:type="dxa"/>
            <w:tcBorders>
              <w:top w:val="nil"/>
              <w:left w:val="nil"/>
              <w:bottom w:val="single" w:color="auto" w:sz="4" w:space="0"/>
              <w:right w:val="single" w:color="auto" w:sz="4" w:space="0"/>
            </w:tcBorders>
            <w:shd w:val="clear" w:color="auto" w:fill="auto"/>
            <w:vAlign w:val="center"/>
          </w:tcPr>
          <w:p w14:paraId="6CFD79D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09AFBE9A">
        <w:tblPrEx>
          <w:tblCellMar>
            <w:top w:w="0" w:type="dxa"/>
            <w:left w:w="108" w:type="dxa"/>
            <w:bottom w:w="0" w:type="dxa"/>
            <w:right w:w="108" w:type="dxa"/>
          </w:tblCellMar>
        </w:tblPrEx>
        <w:trPr>
          <w:trHeight w:val="996" w:hRule="atLeast"/>
        </w:trPr>
        <w:tc>
          <w:tcPr>
            <w:tcW w:w="14081" w:type="dxa"/>
            <w:gridSpan w:val="13"/>
            <w:tcBorders>
              <w:top w:val="nil"/>
              <w:left w:val="single" w:color="auto" w:sz="4" w:space="0"/>
              <w:bottom w:val="single" w:color="auto" w:sz="4" w:space="0"/>
              <w:right w:val="single" w:color="000000" w:sz="4" w:space="0"/>
            </w:tcBorders>
            <w:shd w:val="clear" w:color="auto" w:fill="auto"/>
            <w:vAlign w:val="center"/>
          </w:tcPr>
          <w:p w14:paraId="23BE6498">
            <w:pPr>
              <w:widowControl/>
              <w:jc w:val="center"/>
              <w:textAlignment w:val="center"/>
              <w:rPr>
                <w:rFonts w:hint="eastAsia" w:eastAsia="宋体" w:asciiTheme="minorEastAsia" w:hAnsiTheme="minorEastAsia" w:cstheme="minorEastAsia"/>
                <w:color w:val="auto"/>
                <w:sz w:val="21"/>
                <w:szCs w:val="21"/>
              </w:rPr>
            </w:pPr>
          </w:p>
          <w:p w14:paraId="59CE152F">
            <w:pPr>
              <w:widowControl/>
              <w:ind w:firstLine="2310" w:firstLineChars="1100"/>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村（居）填表人签字：                                    </w:t>
            </w:r>
            <w:r>
              <w:rPr>
                <w:rFonts w:hint="eastAsia" w:eastAsia="宋体" w:asciiTheme="minorEastAsia" w:hAnsiTheme="minorEastAsia" w:cstheme="minorEastAsia"/>
                <w:color w:val="auto"/>
                <w:sz w:val="21"/>
                <w:szCs w:val="21"/>
                <w:lang w:eastAsia="zh-CN"/>
              </w:rPr>
              <w:t>村（居）集体经济组织</w:t>
            </w:r>
            <w:r>
              <w:rPr>
                <w:rFonts w:hint="eastAsia" w:eastAsia="宋体" w:asciiTheme="minorEastAsia" w:hAnsiTheme="minorEastAsia" w:cstheme="minorEastAsia"/>
                <w:color w:val="auto"/>
                <w:sz w:val="21"/>
                <w:szCs w:val="21"/>
              </w:rPr>
              <w:t>（盖章）</w:t>
            </w:r>
          </w:p>
          <w:p w14:paraId="3ED8D2E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                                                                    年      月     日</w:t>
            </w:r>
          </w:p>
        </w:tc>
      </w:tr>
      <w:tr w14:paraId="77BF0068">
        <w:tblPrEx>
          <w:tblCellMar>
            <w:top w:w="0" w:type="dxa"/>
            <w:left w:w="108" w:type="dxa"/>
            <w:bottom w:w="0" w:type="dxa"/>
            <w:right w:w="108" w:type="dxa"/>
          </w:tblCellMar>
        </w:tblPrEx>
        <w:trPr>
          <w:trHeight w:val="996" w:hRule="atLeast"/>
        </w:trPr>
        <w:tc>
          <w:tcPr>
            <w:tcW w:w="14081"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14:paraId="54CD1264">
            <w:pPr>
              <w:widowControl/>
              <w:jc w:val="center"/>
              <w:textAlignment w:val="center"/>
              <w:rPr>
                <w:rFonts w:hint="eastAsia" w:eastAsia="宋体" w:asciiTheme="minorEastAsia" w:hAnsiTheme="minorEastAsia" w:cstheme="minorEastAsia"/>
                <w:color w:val="auto"/>
                <w:sz w:val="21"/>
                <w:szCs w:val="21"/>
              </w:rPr>
            </w:pPr>
          </w:p>
          <w:p w14:paraId="472FA0B1">
            <w:pPr>
              <w:widowControl/>
              <w:ind w:firstLine="2310" w:firstLineChars="1100"/>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乡镇（街道）审核人（签章）:                                乡镇（街道）（公章）</w:t>
            </w:r>
          </w:p>
          <w:p w14:paraId="4E1C5E9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                                                                     年      月     日      </w:t>
            </w:r>
          </w:p>
        </w:tc>
      </w:tr>
      <w:tr w14:paraId="2224C843">
        <w:tblPrEx>
          <w:tblCellMar>
            <w:top w:w="0" w:type="dxa"/>
            <w:left w:w="108" w:type="dxa"/>
            <w:bottom w:w="0" w:type="dxa"/>
            <w:right w:w="108" w:type="dxa"/>
          </w:tblCellMar>
        </w:tblPrEx>
        <w:trPr>
          <w:trHeight w:val="996" w:hRule="atLeast"/>
        </w:trPr>
        <w:tc>
          <w:tcPr>
            <w:tcW w:w="14081"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14:paraId="45D6865B">
            <w:pPr>
              <w:widowControl/>
              <w:jc w:val="center"/>
              <w:textAlignment w:val="center"/>
              <w:rPr>
                <w:rFonts w:hint="eastAsia" w:eastAsia="宋体" w:asciiTheme="minorEastAsia" w:hAnsiTheme="minorEastAsia" w:cstheme="minorEastAsia"/>
                <w:color w:val="auto"/>
                <w:sz w:val="21"/>
                <w:szCs w:val="21"/>
              </w:rPr>
            </w:pPr>
          </w:p>
          <w:p w14:paraId="23AE45B2">
            <w:pPr>
              <w:widowControl/>
              <w:ind w:firstLine="2310" w:firstLineChars="1100"/>
              <w:jc w:val="both"/>
              <w:textAlignment w:val="center"/>
              <w:rPr>
                <w:rFonts w:hint="eastAsia" w:eastAsia="宋体" w:asciiTheme="minorEastAsia" w:hAnsiTheme="minorEastAsia" w:cstheme="minorEastAsia"/>
                <w:color w:val="auto"/>
                <w:sz w:val="21"/>
                <w:szCs w:val="21"/>
              </w:rPr>
            </w:pPr>
            <w:r>
              <w:rPr>
                <w:rFonts w:hint="eastAsia" w:asciiTheme="minorEastAsia" w:hAnsiTheme="minorEastAsia" w:cstheme="minorEastAsia"/>
                <w:color w:val="auto"/>
                <w:sz w:val="21"/>
                <w:szCs w:val="21"/>
                <w:lang w:eastAsia="zh-CN"/>
              </w:rPr>
              <w:t>县</w:t>
            </w:r>
            <w:r>
              <w:rPr>
                <w:rFonts w:hint="eastAsia" w:eastAsia="宋体" w:asciiTheme="minorEastAsia" w:hAnsiTheme="minorEastAsia" w:cstheme="minorEastAsia"/>
                <w:color w:val="auto"/>
                <w:sz w:val="21"/>
                <w:szCs w:val="21"/>
              </w:rPr>
              <w:t xml:space="preserve">社保机构审核人（签章）：                         </w:t>
            </w:r>
            <w:r>
              <w:rPr>
                <w:rFonts w:hint="eastAsia" w:eastAsia="宋体"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rPr>
              <w:t xml:space="preserve"> </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eastAsia="zh-CN"/>
              </w:rPr>
              <w:t>县</w:t>
            </w:r>
            <w:r>
              <w:rPr>
                <w:rFonts w:hint="eastAsia" w:eastAsia="宋体" w:asciiTheme="minorEastAsia" w:hAnsiTheme="minorEastAsia" w:cstheme="minorEastAsia"/>
                <w:color w:val="auto"/>
                <w:sz w:val="21"/>
                <w:szCs w:val="21"/>
              </w:rPr>
              <w:t>社保机构（公章）</w:t>
            </w:r>
          </w:p>
          <w:p w14:paraId="37B29F3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                                                                     年      月     日             </w:t>
            </w:r>
          </w:p>
        </w:tc>
      </w:tr>
    </w:tbl>
    <w:p w14:paraId="66C92C7F">
      <w:pPr>
        <w:tabs>
          <w:tab w:val="left" w:pos="616"/>
        </w:tabs>
        <w:jc w:val="left"/>
        <w:rPr>
          <w:rFonts w:hint="eastAsia" w:ascii="宋体" w:hAnsi="宋体" w:eastAsia="宋体" w:cs="Tahoma"/>
          <w:color w:val="auto"/>
          <w:sz w:val="21"/>
          <w:szCs w:val="21"/>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宋体" w:hAnsi="宋体" w:eastAsia="宋体" w:cs="宋体"/>
          <w:b/>
          <w:color w:val="auto"/>
          <w:kern w:val="0"/>
          <w:sz w:val="21"/>
          <w:szCs w:val="21"/>
          <w:lang w:val="en-US" w:eastAsia="zh-CN"/>
        </w:rPr>
        <w:t>注：</w:t>
      </w:r>
      <w:r>
        <w:rPr>
          <w:rFonts w:hint="eastAsia" w:eastAsia="宋体" w:asciiTheme="minorEastAsia" w:hAnsiTheme="minorEastAsia" w:cstheme="minorEastAsia"/>
          <w:color w:val="auto"/>
          <w:sz w:val="21"/>
          <w:szCs w:val="21"/>
        </w:rPr>
        <w:t>本表一式三份，由村（居）</w:t>
      </w:r>
      <w:r>
        <w:rPr>
          <w:rFonts w:hint="eastAsia" w:eastAsia="宋体" w:asciiTheme="minorEastAsia" w:hAnsiTheme="minorEastAsia" w:cstheme="minorEastAsia"/>
          <w:color w:val="auto"/>
          <w:sz w:val="21"/>
          <w:szCs w:val="21"/>
          <w:lang w:eastAsia="zh-CN"/>
        </w:rPr>
        <w:t>集体经济组织</w:t>
      </w:r>
      <w:r>
        <w:rPr>
          <w:rFonts w:hint="eastAsia" w:eastAsia="宋体" w:asciiTheme="minorEastAsia" w:hAnsiTheme="minorEastAsia" w:cstheme="minorEastAsia"/>
          <w:color w:val="auto"/>
          <w:sz w:val="21"/>
          <w:szCs w:val="21"/>
        </w:rPr>
        <w:t>负责汇总填制，村（居）、乡镇（街道）、县社保机构各留存一份</w:t>
      </w:r>
      <w:r>
        <w:rPr>
          <w:rFonts w:hint="eastAsia" w:eastAsia="宋体" w:asciiTheme="minorEastAsia" w:hAnsiTheme="minorEastAsia" w:cstheme="minorEastAsia"/>
          <w:color w:val="auto"/>
          <w:sz w:val="21"/>
          <w:szCs w:val="21"/>
          <w:lang w:eastAsia="zh-CN"/>
        </w:rPr>
        <w:t>。</w:t>
      </w:r>
    </w:p>
    <w:p w14:paraId="63B47CCA">
      <w:pPr>
        <w:rPr>
          <w:rFonts w:ascii="方正小标宋简体" w:hAnsi="方正小标宋简体" w:eastAsia="方正小标宋简体" w:cs="方正小标宋简体"/>
          <w:color w:val="auto"/>
          <w:kern w:val="0"/>
          <w:sz w:val="44"/>
          <w:szCs w:val="44"/>
        </w:rPr>
      </w:pPr>
      <w:r>
        <w:rPr>
          <w:rFonts w:hint="eastAsia" w:ascii="黑体" w:hAnsi="黑体" w:eastAsia="黑体" w:cs="黑体"/>
          <w:color w:val="auto"/>
          <w:kern w:val="0"/>
          <w:sz w:val="32"/>
          <w:szCs w:val="32"/>
        </w:rPr>
        <w:t>附件5</w:t>
      </w:r>
    </w:p>
    <w:p w14:paraId="598432AB">
      <w:pPr>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居民基本养老保险费补缴申请表</w:t>
      </w:r>
    </w:p>
    <w:tbl>
      <w:tblPr>
        <w:tblStyle w:val="8"/>
        <w:tblW w:w="8628" w:type="dxa"/>
        <w:tblInd w:w="-116" w:type="dxa"/>
        <w:tblLayout w:type="fixed"/>
        <w:tblCellMar>
          <w:top w:w="0" w:type="dxa"/>
          <w:left w:w="108" w:type="dxa"/>
          <w:bottom w:w="0" w:type="dxa"/>
          <w:right w:w="108" w:type="dxa"/>
        </w:tblCellMar>
      </w:tblPr>
      <w:tblGrid>
        <w:gridCol w:w="1676"/>
        <w:gridCol w:w="1701"/>
        <w:gridCol w:w="1701"/>
        <w:gridCol w:w="1118"/>
        <w:gridCol w:w="2432"/>
      </w:tblGrid>
      <w:tr w14:paraId="3BC9AD85">
        <w:tblPrEx>
          <w:tblCellMar>
            <w:top w:w="0" w:type="dxa"/>
            <w:left w:w="108" w:type="dxa"/>
            <w:bottom w:w="0" w:type="dxa"/>
            <w:right w:w="108" w:type="dxa"/>
          </w:tblCellMar>
        </w:tblPrEx>
        <w:trPr>
          <w:trHeight w:val="400" w:hRule="atLeast"/>
        </w:trPr>
        <w:tc>
          <w:tcPr>
            <w:tcW w:w="5078" w:type="dxa"/>
            <w:gridSpan w:val="3"/>
            <w:tcBorders>
              <w:top w:val="nil"/>
              <w:left w:val="nil"/>
              <w:bottom w:val="nil"/>
              <w:right w:val="nil"/>
            </w:tcBorders>
            <w:shd w:val="clear" w:color="auto" w:fill="auto"/>
            <w:vAlign w:val="center"/>
          </w:tcPr>
          <w:p w14:paraId="2700958F">
            <w:pPr>
              <w:jc w:val="left"/>
              <w:rPr>
                <w:rFonts w:ascii="宋体" w:hAnsi="宋体" w:cs="宋体"/>
                <w:color w:val="auto"/>
                <w:sz w:val="21"/>
                <w:szCs w:val="21"/>
              </w:rPr>
            </w:pPr>
            <w:r>
              <w:rPr>
                <w:rFonts w:hint="eastAsia" w:ascii="宋体" w:hAnsi="宋体" w:cs="宋体"/>
                <w:color w:val="auto"/>
                <w:kern w:val="0"/>
                <w:sz w:val="21"/>
                <w:szCs w:val="21"/>
              </w:rPr>
              <w:t>所属村（居）委会：</w:t>
            </w:r>
          </w:p>
        </w:tc>
        <w:tc>
          <w:tcPr>
            <w:tcW w:w="3550" w:type="dxa"/>
            <w:gridSpan w:val="2"/>
            <w:tcBorders>
              <w:top w:val="nil"/>
              <w:left w:val="nil"/>
              <w:bottom w:val="nil"/>
              <w:right w:val="nil"/>
            </w:tcBorders>
            <w:shd w:val="clear" w:color="auto" w:fill="auto"/>
            <w:vAlign w:val="center"/>
          </w:tcPr>
          <w:p w14:paraId="6FE43AC5">
            <w:pPr>
              <w:widowControl/>
              <w:textAlignment w:val="center"/>
              <w:rPr>
                <w:rFonts w:ascii="宋体" w:hAnsi="宋体" w:cs="宋体"/>
                <w:color w:val="auto"/>
                <w:sz w:val="21"/>
                <w:szCs w:val="21"/>
              </w:rPr>
            </w:pPr>
            <w:r>
              <w:rPr>
                <w:rFonts w:hint="eastAsia" w:ascii="宋体" w:hAnsi="宋体" w:cs="宋体"/>
                <w:color w:val="auto"/>
                <w:kern w:val="0"/>
                <w:sz w:val="21"/>
                <w:szCs w:val="21"/>
              </w:rPr>
              <w:t>填表日期：   年    月    日</w:t>
            </w:r>
          </w:p>
        </w:tc>
      </w:tr>
      <w:tr w14:paraId="6D87D006">
        <w:tblPrEx>
          <w:tblCellMar>
            <w:top w:w="0" w:type="dxa"/>
            <w:left w:w="108" w:type="dxa"/>
            <w:bottom w:w="0" w:type="dxa"/>
            <w:right w:w="108" w:type="dxa"/>
          </w:tblCellMar>
        </w:tblPrEx>
        <w:trPr>
          <w:trHeight w:val="787"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85F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4B06297B">
            <w:pPr>
              <w:jc w:val="center"/>
              <w:rPr>
                <w:rFonts w:ascii="宋体" w:hAnsi="宋体" w:cs="宋体"/>
                <w:color w:val="auto"/>
                <w:sz w:val="21"/>
                <w:szCs w:val="21"/>
              </w:rPr>
            </w:pP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14:paraId="5A09FB83">
            <w:pPr>
              <w:jc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DCC2">
            <w:pPr>
              <w:jc w:val="center"/>
              <w:rPr>
                <w:rFonts w:ascii="宋体" w:hAnsi="宋体" w:cs="宋体"/>
                <w:color w:val="auto"/>
                <w:sz w:val="21"/>
                <w:szCs w:val="21"/>
              </w:rPr>
            </w:pPr>
          </w:p>
        </w:tc>
      </w:tr>
      <w:tr w14:paraId="354E0A31">
        <w:tblPrEx>
          <w:tblCellMar>
            <w:top w:w="0" w:type="dxa"/>
            <w:left w:w="108" w:type="dxa"/>
            <w:bottom w:w="0" w:type="dxa"/>
            <w:right w:w="108" w:type="dxa"/>
          </w:tblCellMar>
        </w:tblPrEx>
        <w:trPr>
          <w:trHeight w:val="854"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FC2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居住地址</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D45F7">
            <w:pPr>
              <w:jc w:val="center"/>
              <w:rPr>
                <w:rFonts w:ascii="宋体" w:hAnsi="宋体" w:cs="宋体"/>
                <w:color w:val="auto"/>
                <w:sz w:val="21"/>
                <w:szCs w:val="21"/>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CDF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436">
            <w:pPr>
              <w:jc w:val="center"/>
              <w:rPr>
                <w:rFonts w:ascii="宋体" w:hAnsi="宋体" w:cs="宋体"/>
                <w:color w:val="auto"/>
                <w:sz w:val="21"/>
                <w:szCs w:val="21"/>
              </w:rPr>
            </w:pPr>
          </w:p>
        </w:tc>
      </w:tr>
      <w:tr w14:paraId="02B2E892">
        <w:tblPrEx>
          <w:tblCellMar>
            <w:top w:w="0" w:type="dxa"/>
            <w:left w:w="108" w:type="dxa"/>
            <w:bottom w:w="0" w:type="dxa"/>
            <w:right w:w="108" w:type="dxa"/>
          </w:tblCellMar>
        </w:tblPrEx>
        <w:trPr>
          <w:trHeight w:val="726" w:hRule="atLeast"/>
        </w:trPr>
        <w:tc>
          <w:tcPr>
            <w:tcW w:w="1676" w:type="dxa"/>
            <w:tcBorders>
              <w:top w:val="single" w:color="000000" w:sz="4" w:space="0"/>
              <w:left w:val="single" w:color="000000" w:sz="4" w:space="0"/>
              <w:bottom w:val="single" w:color="auto" w:sz="4" w:space="0"/>
              <w:right w:val="single" w:color="auto" w:sz="4" w:space="0"/>
            </w:tcBorders>
            <w:shd w:val="clear" w:color="auto" w:fill="auto"/>
            <w:vAlign w:val="center"/>
          </w:tcPr>
          <w:p w14:paraId="24C4D33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补缴年度</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8C0823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补缴标准（元/年）</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9E5D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补缴总金额（元）</w:t>
            </w:r>
          </w:p>
        </w:tc>
      </w:tr>
      <w:tr w14:paraId="56BD7F2E">
        <w:tblPrEx>
          <w:tblCellMar>
            <w:top w:w="0" w:type="dxa"/>
            <w:left w:w="108" w:type="dxa"/>
            <w:bottom w:w="0" w:type="dxa"/>
            <w:right w:w="108" w:type="dxa"/>
          </w:tblCellMar>
        </w:tblPrEx>
        <w:trPr>
          <w:trHeight w:val="676" w:hRule="atLeast"/>
        </w:trPr>
        <w:tc>
          <w:tcPr>
            <w:tcW w:w="1676" w:type="dxa"/>
            <w:tcBorders>
              <w:top w:val="single" w:color="auto" w:sz="4" w:space="0"/>
              <w:left w:val="single" w:color="000000" w:sz="4" w:space="0"/>
              <w:bottom w:val="single" w:color="auto" w:sz="4" w:space="0"/>
              <w:right w:val="single" w:color="auto" w:sz="4" w:space="0"/>
            </w:tcBorders>
            <w:shd w:val="clear" w:color="auto" w:fill="auto"/>
            <w:vAlign w:val="center"/>
          </w:tcPr>
          <w:p w14:paraId="406D774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年</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21EEAE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w:t>
            </w:r>
          </w:p>
        </w:tc>
        <w:tc>
          <w:tcPr>
            <w:tcW w:w="3550" w:type="dxa"/>
            <w:gridSpan w:val="2"/>
            <w:vMerge w:val="restart"/>
            <w:tcBorders>
              <w:top w:val="single" w:color="000000" w:sz="4" w:space="0"/>
              <w:left w:val="single" w:color="000000" w:sz="4" w:space="0"/>
              <w:right w:val="single" w:color="000000" w:sz="4" w:space="0"/>
            </w:tcBorders>
            <w:shd w:val="clear" w:color="auto" w:fill="auto"/>
            <w:vAlign w:val="center"/>
          </w:tcPr>
          <w:p w14:paraId="7174ABAE">
            <w:pPr>
              <w:widowControl/>
              <w:jc w:val="center"/>
              <w:textAlignment w:val="center"/>
              <w:rPr>
                <w:rFonts w:ascii="宋体" w:hAnsi="宋体" w:cs="宋体"/>
                <w:color w:val="auto"/>
                <w:sz w:val="21"/>
                <w:szCs w:val="21"/>
              </w:rPr>
            </w:pPr>
          </w:p>
        </w:tc>
      </w:tr>
      <w:tr w14:paraId="27B6683A">
        <w:tblPrEx>
          <w:tblCellMar>
            <w:top w:w="0" w:type="dxa"/>
            <w:left w:w="108" w:type="dxa"/>
            <w:bottom w:w="0" w:type="dxa"/>
            <w:right w:w="108" w:type="dxa"/>
          </w:tblCellMar>
        </w:tblPrEx>
        <w:trPr>
          <w:trHeight w:val="626" w:hRule="atLeast"/>
        </w:trPr>
        <w:tc>
          <w:tcPr>
            <w:tcW w:w="1676" w:type="dxa"/>
            <w:tcBorders>
              <w:top w:val="single" w:color="auto" w:sz="4" w:space="0"/>
              <w:left w:val="single" w:color="000000" w:sz="4" w:space="0"/>
              <w:bottom w:val="single" w:color="000000" w:sz="4" w:space="0"/>
              <w:right w:val="single" w:color="auto" w:sz="4" w:space="0"/>
            </w:tcBorders>
            <w:shd w:val="clear" w:color="auto" w:fill="auto"/>
            <w:vAlign w:val="center"/>
          </w:tcPr>
          <w:p w14:paraId="12DC588F">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年</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7061462">
            <w:pPr>
              <w:widowControl/>
              <w:jc w:val="center"/>
              <w:textAlignment w:val="center"/>
              <w:rPr>
                <w:rFonts w:ascii="宋体" w:hAnsi="宋体" w:cs="宋体"/>
                <w:color w:val="auto"/>
                <w:kern w:val="0"/>
                <w:sz w:val="21"/>
                <w:szCs w:val="21"/>
              </w:rPr>
            </w:pPr>
          </w:p>
        </w:tc>
        <w:tc>
          <w:tcPr>
            <w:tcW w:w="3550" w:type="dxa"/>
            <w:gridSpan w:val="2"/>
            <w:vMerge w:val="continue"/>
            <w:tcBorders>
              <w:left w:val="single" w:color="000000" w:sz="4" w:space="0"/>
              <w:right w:val="single" w:color="000000" w:sz="4" w:space="0"/>
            </w:tcBorders>
            <w:shd w:val="clear" w:color="auto" w:fill="auto"/>
            <w:vAlign w:val="center"/>
          </w:tcPr>
          <w:p w14:paraId="11A4DAB6">
            <w:pPr>
              <w:widowControl/>
              <w:jc w:val="center"/>
              <w:textAlignment w:val="center"/>
              <w:rPr>
                <w:rFonts w:ascii="宋体" w:hAnsi="宋体" w:cs="宋体"/>
                <w:color w:val="auto"/>
                <w:kern w:val="0"/>
                <w:sz w:val="21"/>
                <w:szCs w:val="21"/>
              </w:rPr>
            </w:pPr>
          </w:p>
        </w:tc>
      </w:tr>
      <w:tr w14:paraId="0527D61B">
        <w:tblPrEx>
          <w:tblCellMar>
            <w:top w:w="0" w:type="dxa"/>
            <w:left w:w="108" w:type="dxa"/>
            <w:bottom w:w="0" w:type="dxa"/>
            <w:right w:w="108" w:type="dxa"/>
          </w:tblCellMar>
        </w:tblPrEx>
        <w:trPr>
          <w:trHeight w:val="772" w:hRule="atLeast"/>
        </w:trPr>
        <w:tc>
          <w:tcPr>
            <w:tcW w:w="1676" w:type="dxa"/>
            <w:tcBorders>
              <w:left w:val="single" w:color="000000" w:sz="4" w:space="0"/>
              <w:bottom w:val="single" w:color="000000" w:sz="4" w:space="0"/>
              <w:right w:val="single" w:color="auto" w:sz="4" w:space="0"/>
            </w:tcBorders>
            <w:shd w:val="clear" w:color="auto" w:fill="auto"/>
            <w:vAlign w:val="center"/>
          </w:tcPr>
          <w:p w14:paraId="6BE8928D">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年</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C840A42">
            <w:pPr>
              <w:widowControl/>
              <w:jc w:val="center"/>
              <w:textAlignment w:val="center"/>
              <w:rPr>
                <w:rFonts w:ascii="宋体" w:hAnsi="宋体" w:cs="宋体"/>
                <w:color w:val="auto"/>
                <w:kern w:val="0"/>
                <w:sz w:val="21"/>
                <w:szCs w:val="21"/>
              </w:rPr>
            </w:pPr>
          </w:p>
        </w:tc>
        <w:tc>
          <w:tcPr>
            <w:tcW w:w="3550" w:type="dxa"/>
            <w:gridSpan w:val="2"/>
            <w:vMerge w:val="continue"/>
            <w:tcBorders>
              <w:left w:val="single" w:color="000000" w:sz="4" w:space="0"/>
              <w:bottom w:val="single" w:color="000000" w:sz="4" w:space="0"/>
              <w:right w:val="single" w:color="000000" w:sz="4" w:space="0"/>
            </w:tcBorders>
            <w:shd w:val="clear" w:color="auto" w:fill="auto"/>
            <w:vAlign w:val="center"/>
          </w:tcPr>
          <w:p w14:paraId="64B8CE59">
            <w:pPr>
              <w:widowControl/>
              <w:jc w:val="center"/>
              <w:textAlignment w:val="center"/>
              <w:rPr>
                <w:rFonts w:ascii="宋体" w:hAnsi="宋体" w:cs="宋体"/>
                <w:color w:val="auto"/>
                <w:kern w:val="0"/>
                <w:sz w:val="21"/>
                <w:szCs w:val="21"/>
              </w:rPr>
            </w:pPr>
          </w:p>
        </w:tc>
      </w:tr>
      <w:tr w14:paraId="43FC12F6">
        <w:tblPrEx>
          <w:tblCellMar>
            <w:top w:w="0" w:type="dxa"/>
            <w:left w:w="108" w:type="dxa"/>
            <w:bottom w:w="0" w:type="dxa"/>
            <w:right w:w="108" w:type="dxa"/>
          </w:tblCellMar>
        </w:tblPrEx>
        <w:trPr>
          <w:trHeight w:val="3338" w:hRule="atLeast"/>
        </w:trPr>
        <w:tc>
          <w:tcPr>
            <w:tcW w:w="5078" w:type="dxa"/>
            <w:gridSpan w:val="3"/>
            <w:tcBorders>
              <w:top w:val="single" w:color="000000" w:sz="4" w:space="0"/>
              <w:left w:val="single" w:color="000000" w:sz="4" w:space="0"/>
              <w:bottom w:val="single" w:color="000000" w:sz="4" w:space="0"/>
              <w:right w:val="single" w:color="000000" w:sz="4" w:space="0"/>
            </w:tcBorders>
            <w:shd w:val="clear" w:color="auto" w:fill="auto"/>
          </w:tcPr>
          <w:p w14:paraId="2753FCB7">
            <w:pPr>
              <w:widowControl/>
              <w:jc w:val="left"/>
              <w:textAlignment w:val="top"/>
              <w:rPr>
                <w:rFonts w:ascii="宋体" w:hAnsi="宋体" w:cs="宋体"/>
                <w:color w:val="auto"/>
                <w:kern w:val="0"/>
                <w:sz w:val="21"/>
                <w:szCs w:val="21"/>
              </w:rPr>
            </w:pPr>
          </w:p>
          <w:p w14:paraId="7FCBF6B4">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参保人声明：</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Theme="minorEastAsia" w:hAnsiTheme="minorEastAsia" w:eastAsiaTheme="minorEastAsia" w:cstheme="minorEastAsia"/>
                <w:color w:val="auto"/>
                <w:kern w:val="0"/>
                <w:sz w:val="21"/>
                <w:szCs w:val="21"/>
              </w:rPr>
              <w:t xml:space="preserve"> 以上填写内容真实无误，如不属实，自愿承担相应的法律责任。</w:t>
            </w:r>
          </w:p>
          <w:p w14:paraId="4BC6E87A">
            <w:pPr>
              <w:widowControl/>
              <w:ind w:firstLine="420" w:firstLineChars="200"/>
              <w:jc w:val="left"/>
              <w:textAlignment w:val="top"/>
              <w:rPr>
                <w:rFonts w:ascii="宋体" w:hAnsi="宋体" w:cs="宋体"/>
                <w:color w:val="auto"/>
                <w:kern w:val="0"/>
                <w:sz w:val="21"/>
                <w:szCs w:val="21"/>
              </w:rPr>
            </w:pPr>
          </w:p>
          <w:p w14:paraId="7E6CCD6E">
            <w:pPr>
              <w:widowControl/>
              <w:ind w:firstLine="420" w:firstLineChars="200"/>
              <w:jc w:val="left"/>
              <w:textAlignment w:val="top"/>
              <w:rPr>
                <w:rFonts w:ascii="宋体" w:hAnsi="宋体" w:cs="宋体"/>
                <w:color w:val="auto"/>
                <w:sz w:val="21"/>
                <w:szCs w:val="21"/>
              </w:rPr>
            </w:pPr>
            <w:r>
              <w:rPr>
                <w:rFonts w:hint="eastAsia" w:ascii="宋体" w:hAnsi="宋体" w:cs="宋体"/>
                <w:color w:val="auto"/>
                <w:kern w:val="0"/>
                <w:sz w:val="21"/>
                <w:szCs w:val="21"/>
              </w:rPr>
              <w:t xml:space="preserve"> 参保人：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年    月    日</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Pr>
          <w:p w14:paraId="67C1F808">
            <w:pPr>
              <w:widowControl/>
              <w:jc w:val="left"/>
              <w:textAlignment w:val="top"/>
              <w:rPr>
                <w:rFonts w:ascii="宋体" w:hAnsi="宋体" w:cs="宋体"/>
                <w:color w:val="auto"/>
                <w:kern w:val="0"/>
                <w:sz w:val="21"/>
                <w:szCs w:val="21"/>
              </w:rPr>
            </w:pPr>
          </w:p>
          <w:p w14:paraId="64FDD80B">
            <w:pPr>
              <w:widowControl/>
              <w:jc w:val="left"/>
              <w:textAlignment w:val="top"/>
              <w:rPr>
                <w:rFonts w:ascii="宋体" w:hAnsi="宋体" w:cs="宋体"/>
                <w:color w:val="auto"/>
                <w:kern w:val="0"/>
                <w:sz w:val="21"/>
                <w:szCs w:val="21"/>
              </w:rPr>
            </w:pPr>
          </w:p>
          <w:p w14:paraId="2647B7C2">
            <w:pPr>
              <w:rPr>
                <w:color w:val="auto"/>
                <w:sz w:val="21"/>
                <w:szCs w:val="21"/>
              </w:rPr>
            </w:pPr>
            <w:r>
              <w:rPr>
                <w:rFonts w:hint="eastAsia"/>
                <w:color w:val="auto"/>
                <w:sz w:val="21"/>
                <w:szCs w:val="21"/>
              </w:rPr>
              <w:t>乡镇（街道）服务中心或</w:t>
            </w:r>
          </w:p>
          <w:p w14:paraId="453EB688">
            <w:pPr>
              <w:widowControl/>
              <w:jc w:val="left"/>
              <w:textAlignment w:val="top"/>
              <w:rPr>
                <w:rFonts w:ascii="宋体" w:hAnsi="宋体" w:cs="宋体"/>
                <w:color w:val="auto"/>
                <w:sz w:val="21"/>
                <w:szCs w:val="21"/>
              </w:rPr>
            </w:pPr>
            <w:r>
              <w:rPr>
                <w:rFonts w:hint="eastAsia" w:asciiTheme="minorEastAsia" w:hAnsiTheme="minorEastAsia" w:eastAsiaTheme="minorEastAsia" w:cstheme="minorEastAsia"/>
                <w:color w:val="auto"/>
                <w:kern w:val="0"/>
                <w:sz w:val="21"/>
                <w:szCs w:val="21"/>
              </w:rPr>
              <w:t>县社保机构意见：</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经办人：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年     月     日</w:t>
            </w:r>
          </w:p>
        </w:tc>
      </w:tr>
      <w:tr w14:paraId="68E67501">
        <w:tblPrEx>
          <w:tblCellMar>
            <w:top w:w="0" w:type="dxa"/>
            <w:left w:w="108" w:type="dxa"/>
            <w:bottom w:w="0" w:type="dxa"/>
            <w:right w:w="108" w:type="dxa"/>
          </w:tblCellMar>
        </w:tblPrEx>
        <w:trPr>
          <w:trHeight w:val="1215" w:hRule="atLeast"/>
        </w:trPr>
        <w:tc>
          <w:tcPr>
            <w:tcW w:w="8628" w:type="dxa"/>
            <w:gridSpan w:val="5"/>
            <w:tcBorders>
              <w:top w:val="nil"/>
              <w:left w:val="nil"/>
              <w:bottom w:val="nil"/>
              <w:right w:val="nil"/>
            </w:tcBorders>
            <w:shd w:val="clear" w:color="auto" w:fill="auto"/>
          </w:tcPr>
          <w:p w14:paraId="1E958C89">
            <w:pPr>
              <w:widowControl/>
              <w:jc w:val="left"/>
              <w:textAlignment w:val="center"/>
              <w:rPr>
                <w:rFonts w:asciiTheme="minorEastAsia" w:hAnsiTheme="minorEastAsia" w:cstheme="minorEastAsia"/>
                <w:b/>
                <w:bCs/>
                <w:color w:val="auto"/>
                <w:sz w:val="21"/>
                <w:szCs w:val="21"/>
              </w:rPr>
            </w:pPr>
          </w:p>
          <w:p w14:paraId="3DF1952E">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b/>
                <w:bCs/>
                <w:color w:val="auto"/>
                <w:sz w:val="21"/>
                <w:szCs w:val="21"/>
              </w:rPr>
              <w:t>注：</w:t>
            </w:r>
            <w:r>
              <w:rPr>
                <w:rFonts w:hint="eastAsia" w:asciiTheme="minorEastAsia" w:hAnsiTheme="minorEastAsia" w:cstheme="minorEastAsia"/>
                <w:color w:val="auto"/>
                <w:sz w:val="21"/>
                <w:szCs w:val="21"/>
              </w:rPr>
              <w:t>1.本表用于参保人员申请补缴。</w:t>
            </w:r>
          </w:p>
          <w:p w14:paraId="7CB95798">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2.本表由参保人员填写，由亲属或协办人员代填的，需本人签字、签章确认。</w:t>
            </w:r>
          </w:p>
          <w:p w14:paraId="46C59B81">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3.线上服务渠道受理的，利用人脸识别等实名认证方式代替纸质签章。</w:t>
            </w:r>
          </w:p>
          <w:p w14:paraId="5439392E">
            <w:pPr>
              <w:widowControl/>
              <w:jc w:val="left"/>
              <w:textAlignment w:val="center"/>
              <w:rPr>
                <w:rFonts w:ascii="宋体" w:hAnsi="宋体" w:cs="宋体"/>
                <w:color w:val="auto"/>
                <w:sz w:val="21"/>
                <w:szCs w:val="21"/>
              </w:rPr>
            </w:pPr>
            <w:r>
              <w:rPr>
                <w:rFonts w:hint="eastAsia" w:asciiTheme="minorEastAsia" w:hAnsiTheme="minorEastAsia" w:cstheme="minorEastAsia"/>
                <w:color w:val="auto"/>
                <w:sz w:val="21"/>
                <w:szCs w:val="21"/>
              </w:rPr>
              <w:t xml:space="preserve">    4.本表一式二份，参保人员、社保机构各留存一份。</w:t>
            </w:r>
          </w:p>
        </w:tc>
      </w:tr>
    </w:tbl>
    <w:p w14:paraId="2AE7C792">
      <w:pPr>
        <w:rPr>
          <w:color w:val="auto"/>
        </w:rPr>
      </w:pPr>
    </w:p>
    <w:p w14:paraId="0DE29AB8">
      <w:pPr>
        <w:tabs>
          <w:tab w:val="left" w:pos="616"/>
        </w:tabs>
        <w:jc w:val="left"/>
        <w:rPr>
          <w:rFonts w:ascii="宋体" w:hAnsi="宋体" w:cs="Tahoma"/>
          <w:color w:val="auto"/>
        </w:r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p w14:paraId="6EA11CC9">
      <w:pPr>
        <w:tabs>
          <w:tab w:val="left" w:pos="361"/>
        </w:tabs>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附件6</w:t>
      </w:r>
    </w:p>
    <w:p w14:paraId="1B0A1077">
      <w:pPr>
        <w:tabs>
          <w:tab w:val="left" w:pos="361"/>
        </w:tabs>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居民基本养老保险个人账户对账单</w:t>
      </w:r>
    </w:p>
    <w:tbl>
      <w:tblPr>
        <w:tblStyle w:val="8"/>
        <w:tblW w:w="15518" w:type="dxa"/>
        <w:tblInd w:w="91" w:type="dxa"/>
        <w:tblLayout w:type="fixed"/>
        <w:tblCellMar>
          <w:top w:w="0" w:type="dxa"/>
          <w:left w:w="108" w:type="dxa"/>
          <w:bottom w:w="0" w:type="dxa"/>
          <w:right w:w="108" w:type="dxa"/>
        </w:tblCellMar>
      </w:tblPr>
      <w:tblGrid>
        <w:gridCol w:w="795"/>
        <w:gridCol w:w="795"/>
        <w:gridCol w:w="911"/>
        <w:gridCol w:w="1140"/>
        <w:gridCol w:w="888"/>
        <w:gridCol w:w="236"/>
        <w:gridCol w:w="832"/>
        <w:gridCol w:w="112"/>
        <w:gridCol w:w="434"/>
        <w:gridCol w:w="570"/>
        <w:gridCol w:w="84"/>
        <w:gridCol w:w="624"/>
        <w:gridCol w:w="240"/>
        <w:gridCol w:w="236"/>
        <w:gridCol w:w="304"/>
        <w:gridCol w:w="402"/>
        <w:gridCol w:w="378"/>
        <w:gridCol w:w="828"/>
        <w:gridCol w:w="216"/>
        <w:gridCol w:w="160"/>
        <w:gridCol w:w="371"/>
        <w:gridCol w:w="241"/>
        <w:gridCol w:w="284"/>
        <w:gridCol w:w="516"/>
        <w:gridCol w:w="672"/>
        <w:gridCol w:w="468"/>
        <w:gridCol w:w="684"/>
        <w:gridCol w:w="889"/>
        <w:gridCol w:w="1208"/>
      </w:tblGrid>
      <w:tr w14:paraId="6BFCBAB9">
        <w:tblPrEx>
          <w:tblCellMar>
            <w:top w:w="0" w:type="dxa"/>
            <w:left w:w="108" w:type="dxa"/>
            <w:bottom w:w="0" w:type="dxa"/>
            <w:right w:w="108" w:type="dxa"/>
          </w:tblCellMar>
        </w:tblPrEx>
        <w:trPr>
          <w:gridAfter w:val="1"/>
          <w:wAfter w:w="1208" w:type="dxa"/>
          <w:trHeight w:val="270" w:hRule="atLeast"/>
        </w:trPr>
        <w:tc>
          <w:tcPr>
            <w:tcW w:w="14310" w:type="dxa"/>
            <w:gridSpan w:val="28"/>
            <w:tcBorders>
              <w:top w:val="nil"/>
              <w:left w:val="nil"/>
              <w:bottom w:val="nil"/>
              <w:right w:val="nil"/>
            </w:tcBorders>
            <w:shd w:val="clear" w:color="auto" w:fill="auto"/>
            <w:vAlign w:val="center"/>
          </w:tcPr>
          <w:p w14:paraId="06EC02BD">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单位：元</w:t>
            </w:r>
          </w:p>
        </w:tc>
      </w:tr>
      <w:tr w14:paraId="7746F901">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066C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2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ADDDA">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8E5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性别</w:t>
            </w:r>
          </w:p>
        </w:tc>
        <w:tc>
          <w:tcPr>
            <w:tcW w:w="1200" w:type="dxa"/>
            <w:gridSpan w:val="4"/>
            <w:tcBorders>
              <w:top w:val="single" w:color="auto" w:sz="4" w:space="0"/>
              <w:left w:val="single" w:color="000000" w:sz="4" w:space="0"/>
              <w:bottom w:val="single" w:color="000000" w:sz="4" w:space="0"/>
              <w:right w:val="single" w:color="auto" w:sz="4" w:space="0"/>
            </w:tcBorders>
            <w:shd w:val="clear" w:color="auto" w:fill="auto"/>
            <w:vAlign w:val="center"/>
          </w:tcPr>
          <w:p w14:paraId="283B3920">
            <w:pPr>
              <w:jc w:val="center"/>
              <w:rPr>
                <w:rFonts w:ascii="宋体" w:hAnsi="宋体" w:cs="宋体"/>
                <w:color w:val="auto"/>
                <w:sz w:val="21"/>
                <w:szCs w:val="21"/>
              </w:rPr>
            </w:pPr>
          </w:p>
        </w:tc>
        <w:tc>
          <w:tcPr>
            <w:tcW w:w="3012" w:type="dxa"/>
            <w:gridSpan w:val="7"/>
            <w:tcBorders>
              <w:top w:val="single" w:color="auto" w:sz="4" w:space="0"/>
              <w:left w:val="single" w:color="auto" w:sz="4" w:space="0"/>
              <w:bottom w:val="single" w:color="000000" w:sz="4" w:space="0"/>
              <w:right w:val="single" w:color="000000" w:sz="4" w:space="0"/>
            </w:tcBorders>
            <w:shd w:val="clear" w:color="auto" w:fill="auto"/>
            <w:vAlign w:val="center"/>
          </w:tcPr>
          <w:p w14:paraId="0132C53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参保日期</w:t>
            </w:r>
          </w:p>
        </w:tc>
        <w:tc>
          <w:tcPr>
            <w:tcW w:w="1272"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B4C08B6">
            <w:pPr>
              <w:jc w:val="center"/>
              <w:rPr>
                <w:rFonts w:ascii="宋体" w:hAnsi="宋体" w:cs="宋体"/>
                <w:color w:val="auto"/>
                <w:sz w:val="21"/>
                <w:szCs w:val="21"/>
              </w:rPr>
            </w:pPr>
          </w:p>
        </w:tc>
        <w:tc>
          <w:tcPr>
            <w:tcW w:w="118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62B3123">
            <w:pPr>
              <w:jc w:val="center"/>
              <w:rPr>
                <w:rFonts w:ascii="宋体" w:hAnsi="宋体" w:cs="宋体"/>
                <w:color w:val="auto"/>
                <w:sz w:val="21"/>
                <w:szCs w:val="21"/>
              </w:rPr>
            </w:pPr>
            <w:r>
              <w:rPr>
                <w:rFonts w:hint="eastAsia" w:ascii="宋体" w:hAnsi="宋体" w:cs="宋体"/>
                <w:color w:val="auto"/>
                <w:kern w:val="0"/>
                <w:sz w:val="21"/>
                <w:szCs w:val="21"/>
              </w:rPr>
              <w:t>参保状态</w:t>
            </w:r>
          </w:p>
        </w:tc>
        <w:tc>
          <w:tcPr>
            <w:tcW w:w="20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37EADA75">
            <w:pPr>
              <w:jc w:val="center"/>
              <w:rPr>
                <w:rFonts w:ascii="宋体" w:hAnsi="宋体" w:cs="宋体"/>
                <w:color w:val="auto"/>
                <w:sz w:val="21"/>
                <w:szCs w:val="21"/>
              </w:rPr>
            </w:pPr>
          </w:p>
        </w:tc>
      </w:tr>
      <w:tr w14:paraId="3C960FE5">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6F48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661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C91EE21">
            <w:pPr>
              <w:jc w:val="center"/>
              <w:rPr>
                <w:rFonts w:ascii="宋体" w:hAnsi="宋体" w:cs="宋体"/>
                <w:color w:val="auto"/>
                <w:sz w:val="21"/>
                <w:szCs w:val="21"/>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8E5E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累计缴费年限</w:t>
            </w:r>
          </w:p>
        </w:tc>
        <w:tc>
          <w:tcPr>
            <w:tcW w:w="45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FD0D03">
            <w:pPr>
              <w:jc w:val="center"/>
              <w:rPr>
                <w:rFonts w:ascii="宋体" w:hAnsi="宋体" w:cs="宋体"/>
                <w:color w:val="auto"/>
                <w:sz w:val="21"/>
                <w:szCs w:val="21"/>
              </w:rPr>
            </w:pPr>
          </w:p>
        </w:tc>
      </w:tr>
      <w:tr w14:paraId="4D519894">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1FDB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661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F889132">
            <w:pPr>
              <w:jc w:val="center"/>
              <w:rPr>
                <w:rFonts w:ascii="宋体" w:hAnsi="宋体" w:cs="宋体"/>
                <w:color w:val="auto"/>
                <w:sz w:val="21"/>
                <w:szCs w:val="21"/>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5C25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联系电话</w:t>
            </w:r>
          </w:p>
        </w:tc>
        <w:tc>
          <w:tcPr>
            <w:tcW w:w="45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A58EDB">
            <w:pPr>
              <w:jc w:val="center"/>
              <w:rPr>
                <w:rFonts w:ascii="宋体" w:hAnsi="宋体" w:cs="宋体"/>
                <w:color w:val="auto"/>
                <w:sz w:val="21"/>
                <w:szCs w:val="21"/>
              </w:rPr>
            </w:pPr>
          </w:p>
        </w:tc>
      </w:tr>
      <w:tr w14:paraId="749758A2">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F657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居住地址</w:t>
            </w:r>
          </w:p>
        </w:tc>
        <w:tc>
          <w:tcPr>
            <w:tcW w:w="1272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511AC73F">
            <w:pPr>
              <w:jc w:val="center"/>
              <w:rPr>
                <w:rFonts w:ascii="宋体" w:hAnsi="宋体" w:cs="宋体"/>
                <w:color w:val="auto"/>
                <w:sz w:val="21"/>
                <w:szCs w:val="21"/>
              </w:rPr>
            </w:pPr>
          </w:p>
        </w:tc>
      </w:tr>
      <w:tr w14:paraId="29250D4D">
        <w:tblPrEx>
          <w:tblCellMar>
            <w:top w:w="0" w:type="dxa"/>
            <w:left w:w="108" w:type="dxa"/>
            <w:bottom w:w="0" w:type="dxa"/>
            <w:right w:w="108" w:type="dxa"/>
          </w:tblCellMar>
        </w:tblPrEx>
        <w:trPr>
          <w:gridAfter w:val="1"/>
          <w:wAfter w:w="1208" w:type="dxa"/>
          <w:trHeight w:val="566"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AEC2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年度</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D849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缴费类型</w:t>
            </w:r>
          </w:p>
        </w:tc>
        <w:tc>
          <w:tcPr>
            <w:tcW w:w="661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54B8D3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个人账户收入</w:t>
            </w:r>
          </w:p>
        </w:tc>
        <w:tc>
          <w:tcPr>
            <w:tcW w:w="5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B02CE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发放养老待遇</w:t>
            </w:r>
          </w:p>
        </w:tc>
        <w:tc>
          <w:tcPr>
            <w:tcW w:w="889" w:type="dxa"/>
            <w:vMerge w:val="restart"/>
            <w:tcBorders>
              <w:top w:val="single" w:color="000000" w:sz="4" w:space="0"/>
              <w:left w:val="single" w:color="000000" w:sz="4" w:space="0"/>
              <w:right w:val="single" w:color="000000" w:sz="4" w:space="0"/>
            </w:tcBorders>
            <w:shd w:val="clear" w:color="auto" w:fill="auto"/>
            <w:vAlign w:val="center"/>
          </w:tcPr>
          <w:p w14:paraId="5BE930C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个人账户余额</w:t>
            </w:r>
          </w:p>
        </w:tc>
      </w:tr>
      <w:tr w14:paraId="6578CF67">
        <w:tblPrEx>
          <w:tblCellMar>
            <w:top w:w="0" w:type="dxa"/>
            <w:left w:w="108" w:type="dxa"/>
            <w:bottom w:w="0" w:type="dxa"/>
            <w:right w:w="108" w:type="dxa"/>
          </w:tblCellMar>
        </w:tblPrEx>
        <w:trPr>
          <w:gridAfter w:val="1"/>
          <w:wAfter w:w="1208" w:type="dxa"/>
          <w:trHeight w:val="68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A494">
            <w:pPr>
              <w:jc w:val="center"/>
              <w:rPr>
                <w:rFonts w:ascii="宋体" w:hAnsi="宋体" w:cs="宋体"/>
                <w:color w:val="auto"/>
                <w:sz w:val="21"/>
                <w:szCs w:val="21"/>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EFC1">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7D4968FF">
            <w:pPr>
              <w:widowControl/>
              <w:jc w:val="center"/>
              <w:textAlignment w:val="center"/>
              <w:rPr>
                <w:rFonts w:ascii="宋体" w:hAnsi="宋体" w:cs="宋体"/>
                <w:color w:val="auto"/>
                <w:sz w:val="21"/>
                <w:szCs w:val="21"/>
              </w:rPr>
            </w:pPr>
            <w:r>
              <w:rPr>
                <w:rFonts w:hint="eastAsia" w:ascii="宋体" w:hAnsi="宋体" w:cs="宋体"/>
                <w:color w:val="auto"/>
                <w:sz w:val="21"/>
                <w:szCs w:val="21"/>
              </w:rPr>
              <w:t>合计</w:t>
            </w: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95CE6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个人缴费</w:t>
            </w:r>
          </w:p>
        </w:tc>
        <w:tc>
          <w:tcPr>
            <w:tcW w:w="888" w:type="dxa"/>
            <w:tcBorders>
              <w:top w:val="single" w:color="000000" w:sz="4" w:space="0"/>
              <w:left w:val="single" w:color="000000" w:sz="4" w:space="0"/>
              <w:right w:val="single" w:color="auto" w:sz="4" w:space="0"/>
            </w:tcBorders>
            <w:shd w:val="clear" w:color="auto" w:fill="auto"/>
            <w:vAlign w:val="center"/>
          </w:tcPr>
          <w:p w14:paraId="0444DB8C">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集体</w:t>
            </w:r>
          </w:p>
          <w:p w14:paraId="1D77FAE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补助</w:t>
            </w:r>
          </w:p>
        </w:tc>
        <w:tc>
          <w:tcPr>
            <w:tcW w:w="1068" w:type="dxa"/>
            <w:gridSpan w:val="2"/>
            <w:tcBorders>
              <w:top w:val="single" w:color="000000" w:sz="4" w:space="0"/>
              <w:left w:val="single" w:color="auto" w:sz="4" w:space="0"/>
              <w:right w:val="single" w:color="auto" w:sz="4" w:space="0"/>
            </w:tcBorders>
            <w:shd w:val="clear" w:color="auto" w:fill="auto"/>
            <w:vAlign w:val="center"/>
          </w:tcPr>
          <w:p w14:paraId="1BC862DD">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其他</w:t>
            </w:r>
          </w:p>
          <w:p w14:paraId="29A1D49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资助</w:t>
            </w:r>
          </w:p>
        </w:tc>
        <w:tc>
          <w:tcPr>
            <w:tcW w:w="1116" w:type="dxa"/>
            <w:gridSpan w:val="3"/>
            <w:tcBorders>
              <w:top w:val="single" w:color="000000" w:sz="4" w:space="0"/>
              <w:left w:val="single" w:color="auto" w:sz="4" w:space="0"/>
              <w:right w:val="single" w:color="000000" w:sz="4" w:space="0"/>
            </w:tcBorders>
            <w:shd w:val="clear" w:color="auto" w:fill="auto"/>
            <w:vAlign w:val="center"/>
          </w:tcPr>
          <w:p w14:paraId="679D13D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政府补贴</w:t>
            </w:r>
          </w:p>
        </w:tc>
        <w:tc>
          <w:tcPr>
            <w:tcW w:w="708" w:type="dxa"/>
            <w:gridSpan w:val="2"/>
            <w:tcBorders>
              <w:top w:val="single" w:color="000000" w:sz="4" w:space="0"/>
              <w:left w:val="single" w:color="000000" w:sz="4" w:space="0"/>
              <w:right w:val="single" w:color="000000" w:sz="4" w:space="0"/>
            </w:tcBorders>
            <w:shd w:val="clear" w:color="auto" w:fill="auto"/>
            <w:vAlign w:val="center"/>
          </w:tcPr>
          <w:p w14:paraId="38617C5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利息</w:t>
            </w:r>
          </w:p>
        </w:tc>
        <w:tc>
          <w:tcPr>
            <w:tcW w:w="780" w:type="dxa"/>
            <w:gridSpan w:val="3"/>
            <w:tcBorders>
              <w:top w:val="single" w:color="000000" w:sz="4" w:space="0"/>
              <w:left w:val="single" w:color="000000" w:sz="4" w:space="0"/>
              <w:right w:val="single" w:color="000000" w:sz="4" w:space="0"/>
            </w:tcBorders>
            <w:shd w:val="clear" w:color="auto" w:fill="auto"/>
            <w:vAlign w:val="center"/>
          </w:tcPr>
          <w:p w14:paraId="46BE72F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其他</w:t>
            </w:r>
          </w:p>
        </w:tc>
        <w:tc>
          <w:tcPr>
            <w:tcW w:w="780" w:type="dxa"/>
            <w:gridSpan w:val="2"/>
            <w:tcBorders>
              <w:top w:val="single" w:color="000000" w:sz="4" w:space="0"/>
              <w:left w:val="single" w:color="000000" w:sz="4" w:space="0"/>
              <w:right w:val="single" w:color="auto" w:sz="4" w:space="0"/>
            </w:tcBorders>
            <w:shd w:val="clear" w:color="auto" w:fill="auto"/>
            <w:vAlign w:val="center"/>
          </w:tcPr>
          <w:p w14:paraId="59E0A76D">
            <w:pPr>
              <w:widowControl/>
              <w:tabs>
                <w:tab w:val="left" w:pos="357"/>
              </w:tabs>
              <w:jc w:val="center"/>
              <w:textAlignment w:val="center"/>
              <w:rPr>
                <w:rFonts w:ascii="宋体" w:hAnsi="宋体" w:cs="宋体"/>
                <w:color w:val="auto"/>
                <w:kern w:val="0"/>
                <w:sz w:val="21"/>
                <w:szCs w:val="21"/>
              </w:rPr>
            </w:pPr>
            <w:r>
              <w:rPr>
                <w:rFonts w:hint="eastAsia" w:ascii="宋体" w:hAnsi="宋体" w:cs="宋体"/>
                <w:color w:val="auto"/>
                <w:kern w:val="0"/>
                <w:sz w:val="21"/>
                <w:szCs w:val="21"/>
              </w:rPr>
              <w:t>合计</w:t>
            </w:r>
          </w:p>
        </w:tc>
        <w:tc>
          <w:tcPr>
            <w:tcW w:w="1044" w:type="dxa"/>
            <w:gridSpan w:val="2"/>
            <w:tcBorders>
              <w:top w:val="single" w:color="000000" w:sz="4" w:space="0"/>
              <w:left w:val="single" w:color="auto" w:sz="4" w:space="0"/>
              <w:right w:val="single" w:color="auto" w:sz="4" w:space="0"/>
            </w:tcBorders>
            <w:shd w:val="clear" w:color="auto" w:fill="auto"/>
            <w:vAlign w:val="center"/>
          </w:tcPr>
          <w:p w14:paraId="6DAFB4E0">
            <w:pPr>
              <w:jc w:val="center"/>
              <w:rPr>
                <w:rFonts w:ascii="宋体" w:hAnsi="宋体" w:cs="宋体"/>
                <w:color w:val="auto"/>
                <w:sz w:val="21"/>
                <w:szCs w:val="21"/>
              </w:rPr>
            </w:pPr>
            <w:r>
              <w:rPr>
                <w:rFonts w:hint="eastAsia" w:ascii="宋体" w:hAnsi="宋体" w:cs="宋体"/>
                <w:color w:val="auto"/>
                <w:sz w:val="21"/>
                <w:szCs w:val="21"/>
              </w:rPr>
              <w:t>基  础</w:t>
            </w:r>
          </w:p>
          <w:p w14:paraId="01C4EECB">
            <w:pPr>
              <w:jc w:val="center"/>
              <w:rPr>
                <w:rFonts w:ascii="宋体" w:hAnsi="宋体" w:cs="宋体"/>
                <w:color w:val="auto"/>
                <w:sz w:val="21"/>
                <w:szCs w:val="21"/>
              </w:rPr>
            </w:pPr>
            <w:r>
              <w:rPr>
                <w:rFonts w:hint="eastAsia" w:ascii="宋体" w:hAnsi="宋体" w:cs="宋体"/>
                <w:color w:val="auto"/>
                <w:sz w:val="21"/>
                <w:szCs w:val="21"/>
              </w:rPr>
              <w:t>养老金</w:t>
            </w:r>
          </w:p>
        </w:tc>
        <w:tc>
          <w:tcPr>
            <w:tcW w:w="772" w:type="dxa"/>
            <w:gridSpan w:val="3"/>
            <w:tcBorders>
              <w:top w:val="single" w:color="000000" w:sz="4" w:space="0"/>
              <w:left w:val="single" w:color="auto" w:sz="4" w:space="0"/>
              <w:right w:val="single" w:color="auto" w:sz="4" w:space="0"/>
            </w:tcBorders>
            <w:shd w:val="clear" w:color="auto" w:fill="auto"/>
            <w:vAlign w:val="center"/>
          </w:tcPr>
          <w:p w14:paraId="1C20E765">
            <w:pPr>
              <w:jc w:val="center"/>
              <w:rPr>
                <w:rFonts w:ascii="宋体" w:hAnsi="宋体" w:cs="宋体"/>
                <w:color w:val="auto"/>
                <w:kern w:val="0"/>
                <w:sz w:val="21"/>
                <w:szCs w:val="21"/>
              </w:rPr>
            </w:pPr>
            <w:r>
              <w:rPr>
                <w:rFonts w:hint="eastAsia" w:ascii="宋体" w:hAnsi="宋体" w:cs="宋体"/>
                <w:color w:val="auto"/>
                <w:kern w:val="0"/>
                <w:sz w:val="21"/>
                <w:szCs w:val="21"/>
              </w:rPr>
              <w:t>年限</w:t>
            </w:r>
          </w:p>
          <w:p w14:paraId="48B436ED">
            <w:pPr>
              <w:jc w:val="center"/>
              <w:rPr>
                <w:rFonts w:ascii="宋体" w:hAnsi="宋体" w:cs="宋体"/>
                <w:color w:val="auto"/>
                <w:sz w:val="21"/>
                <w:szCs w:val="21"/>
              </w:rPr>
            </w:pPr>
            <w:r>
              <w:rPr>
                <w:rFonts w:hint="eastAsia" w:ascii="宋体" w:hAnsi="宋体" w:cs="宋体"/>
                <w:color w:val="auto"/>
                <w:kern w:val="0"/>
                <w:sz w:val="21"/>
                <w:szCs w:val="21"/>
              </w:rPr>
              <w:t>加发</w:t>
            </w:r>
          </w:p>
        </w:tc>
        <w:tc>
          <w:tcPr>
            <w:tcW w:w="800" w:type="dxa"/>
            <w:gridSpan w:val="2"/>
            <w:tcBorders>
              <w:top w:val="single" w:color="000000" w:sz="4" w:space="0"/>
              <w:left w:val="single" w:color="auto" w:sz="4" w:space="0"/>
              <w:right w:val="single" w:color="auto" w:sz="4" w:space="0"/>
            </w:tcBorders>
            <w:shd w:val="clear" w:color="auto" w:fill="auto"/>
            <w:vAlign w:val="center"/>
          </w:tcPr>
          <w:p w14:paraId="1A19D45D">
            <w:pPr>
              <w:jc w:val="center"/>
              <w:rPr>
                <w:rFonts w:ascii="宋体" w:hAnsi="宋体" w:cs="宋体"/>
                <w:color w:val="auto"/>
                <w:kern w:val="0"/>
                <w:sz w:val="21"/>
                <w:szCs w:val="21"/>
              </w:rPr>
            </w:pPr>
            <w:r>
              <w:rPr>
                <w:rFonts w:hint="eastAsia" w:ascii="宋体" w:hAnsi="宋体" w:cs="宋体"/>
                <w:color w:val="auto"/>
                <w:kern w:val="0"/>
                <w:sz w:val="21"/>
                <w:szCs w:val="21"/>
              </w:rPr>
              <w:t>高龄加发</w:t>
            </w:r>
          </w:p>
        </w:tc>
        <w:tc>
          <w:tcPr>
            <w:tcW w:w="1140"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1518DE1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个人账户养老金</w:t>
            </w:r>
          </w:p>
        </w:tc>
        <w:tc>
          <w:tcPr>
            <w:tcW w:w="684" w:type="dxa"/>
            <w:tcBorders>
              <w:top w:val="single" w:color="000000" w:sz="4" w:space="0"/>
              <w:left w:val="single" w:color="000000" w:sz="4" w:space="0"/>
              <w:bottom w:val="single" w:color="auto" w:sz="4" w:space="0"/>
              <w:right w:val="single" w:color="000000" w:sz="4" w:space="0"/>
            </w:tcBorders>
            <w:shd w:val="clear" w:color="auto" w:fill="auto"/>
            <w:vAlign w:val="center"/>
          </w:tcPr>
          <w:p w14:paraId="2F260C5E">
            <w:pPr>
              <w:widowControl/>
              <w:jc w:val="center"/>
              <w:textAlignment w:val="center"/>
              <w:rPr>
                <w:rFonts w:ascii="宋体" w:hAnsi="宋体" w:cs="宋体"/>
                <w:color w:val="auto"/>
                <w:sz w:val="21"/>
                <w:szCs w:val="21"/>
              </w:rPr>
            </w:pPr>
            <w:r>
              <w:rPr>
                <w:rFonts w:hint="eastAsia" w:ascii="宋体" w:hAnsi="宋体" w:cs="宋体"/>
                <w:color w:val="auto"/>
                <w:sz w:val="21"/>
                <w:szCs w:val="21"/>
              </w:rPr>
              <w:t>其他</w:t>
            </w:r>
          </w:p>
        </w:tc>
        <w:tc>
          <w:tcPr>
            <w:tcW w:w="889" w:type="dxa"/>
            <w:vMerge w:val="continue"/>
            <w:tcBorders>
              <w:left w:val="single" w:color="000000" w:sz="4" w:space="0"/>
              <w:right w:val="single" w:color="000000" w:sz="4" w:space="0"/>
            </w:tcBorders>
            <w:shd w:val="clear" w:color="auto" w:fill="auto"/>
            <w:vAlign w:val="center"/>
          </w:tcPr>
          <w:p w14:paraId="2685FA25">
            <w:pPr>
              <w:jc w:val="center"/>
              <w:rPr>
                <w:rFonts w:ascii="宋体" w:hAnsi="宋体" w:cs="宋体"/>
                <w:color w:val="auto"/>
                <w:sz w:val="21"/>
                <w:szCs w:val="21"/>
              </w:rPr>
            </w:pPr>
          </w:p>
        </w:tc>
      </w:tr>
      <w:tr w14:paraId="0975F075">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2AD4">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DC4">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0F84D54D">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AFF357">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C788">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979EE8">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E78BCA4">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E3000">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0A893">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52E2E3FC">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FA9E75">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E9D59B6">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26630A">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66AA85F7">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E485">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E36E5">
            <w:pPr>
              <w:jc w:val="center"/>
              <w:rPr>
                <w:rFonts w:ascii="宋体" w:hAnsi="宋体" w:cs="宋体"/>
                <w:color w:val="auto"/>
                <w:sz w:val="21"/>
                <w:szCs w:val="21"/>
              </w:rPr>
            </w:pPr>
          </w:p>
        </w:tc>
      </w:tr>
      <w:tr w14:paraId="27EB2D65">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11AA">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205">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572D0DEC">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4A71212A">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D0B">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EBEFBEB">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DC14E8B">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EB3B7">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37BDE">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2EE42943">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C73836">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05A344B">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C5AC362">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5D9DBD7C">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C48">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58071502">
            <w:pPr>
              <w:jc w:val="center"/>
              <w:rPr>
                <w:rFonts w:ascii="宋体" w:hAnsi="宋体" w:cs="宋体"/>
                <w:color w:val="auto"/>
                <w:sz w:val="21"/>
                <w:szCs w:val="21"/>
              </w:rPr>
            </w:pPr>
          </w:p>
        </w:tc>
      </w:tr>
      <w:tr w14:paraId="5D391A4F">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A7F4">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F26">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4F4A8C20">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13E3FC39">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9AA2">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94C3D9E">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16CAC2B">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450BD">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5E4FF">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36C34A32">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F868B">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EBDC34D">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416CFA8">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00D0A2D9">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A493">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2AB1BA9B">
            <w:pPr>
              <w:jc w:val="center"/>
              <w:rPr>
                <w:rFonts w:ascii="宋体" w:hAnsi="宋体" w:cs="宋体"/>
                <w:color w:val="auto"/>
                <w:sz w:val="21"/>
                <w:szCs w:val="21"/>
              </w:rPr>
            </w:pPr>
          </w:p>
        </w:tc>
      </w:tr>
      <w:tr w14:paraId="4753FC86">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CFC8">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72B2">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12302D8F">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07FE06">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30D7">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B2D28D">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D7691D4">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9C111">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0EFC7">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3C504FE8">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B9F21F">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BCFDA95">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DCEC79D">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0D50E573">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2D84">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5A20180E">
            <w:pPr>
              <w:jc w:val="center"/>
              <w:rPr>
                <w:rFonts w:ascii="宋体" w:hAnsi="宋体" w:cs="宋体"/>
                <w:color w:val="auto"/>
                <w:sz w:val="21"/>
                <w:szCs w:val="21"/>
              </w:rPr>
            </w:pPr>
          </w:p>
        </w:tc>
      </w:tr>
      <w:tr w14:paraId="42975BEE">
        <w:tblPrEx>
          <w:tblCellMar>
            <w:top w:w="0" w:type="dxa"/>
            <w:left w:w="108" w:type="dxa"/>
            <w:bottom w:w="0" w:type="dxa"/>
            <w:right w:w="108" w:type="dxa"/>
          </w:tblCellMar>
        </w:tblPrEx>
        <w:trPr>
          <w:trHeight w:val="270" w:hRule="atLeast"/>
        </w:trPr>
        <w:tc>
          <w:tcPr>
            <w:tcW w:w="3641" w:type="dxa"/>
            <w:gridSpan w:val="4"/>
            <w:tcBorders>
              <w:top w:val="nil"/>
              <w:left w:val="nil"/>
              <w:bottom w:val="nil"/>
              <w:right w:val="nil"/>
            </w:tcBorders>
            <w:shd w:val="clear" w:color="auto" w:fill="auto"/>
            <w:vAlign w:val="center"/>
          </w:tcPr>
          <w:p w14:paraId="334E58D6">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制表单位（公章）：</w:t>
            </w:r>
          </w:p>
        </w:tc>
        <w:tc>
          <w:tcPr>
            <w:tcW w:w="888" w:type="dxa"/>
            <w:tcBorders>
              <w:top w:val="nil"/>
              <w:left w:val="nil"/>
              <w:bottom w:val="nil"/>
              <w:right w:val="nil"/>
            </w:tcBorders>
            <w:shd w:val="clear" w:color="auto" w:fill="auto"/>
            <w:vAlign w:val="center"/>
          </w:tcPr>
          <w:p w14:paraId="2DE868C7">
            <w:pPr>
              <w:rPr>
                <w:rFonts w:ascii="宋体" w:hAnsi="宋体" w:cs="宋体"/>
                <w:color w:val="auto"/>
                <w:sz w:val="21"/>
                <w:szCs w:val="21"/>
              </w:rPr>
            </w:pPr>
          </w:p>
        </w:tc>
        <w:tc>
          <w:tcPr>
            <w:tcW w:w="236" w:type="dxa"/>
            <w:tcBorders>
              <w:top w:val="nil"/>
              <w:left w:val="nil"/>
              <w:bottom w:val="nil"/>
              <w:right w:val="nil"/>
            </w:tcBorders>
            <w:shd w:val="clear" w:color="auto" w:fill="auto"/>
            <w:vAlign w:val="center"/>
          </w:tcPr>
          <w:p w14:paraId="4B209521">
            <w:pPr>
              <w:rPr>
                <w:rFonts w:ascii="宋体" w:hAnsi="宋体" w:cs="宋体"/>
                <w:color w:val="auto"/>
                <w:sz w:val="21"/>
                <w:szCs w:val="21"/>
              </w:rPr>
            </w:pPr>
          </w:p>
        </w:tc>
        <w:tc>
          <w:tcPr>
            <w:tcW w:w="944" w:type="dxa"/>
            <w:gridSpan w:val="2"/>
            <w:tcBorders>
              <w:top w:val="nil"/>
              <w:left w:val="nil"/>
              <w:bottom w:val="nil"/>
              <w:right w:val="nil"/>
            </w:tcBorders>
            <w:shd w:val="clear" w:color="auto" w:fill="auto"/>
            <w:vAlign w:val="center"/>
          </w:tcPr>
          <w:p w14:paraId="79EA3573">
            <w:pPr>
              <w:rPr>
                <w:rFonts w:ascii="宋体" w:hAnsi="宋体" w:cs="宋体"/>
                <w:color w:val="auto"/>
                <w:sz w:val="21"/>
                <w:szCs w:val="21"/>
              </w:rPr>
            </w:pPr>
          </w:p>
        </w:tc>
        <w:tc>
          <w:tcPr>
            <w:tcW w:w="434" w:type="dxa"/>
            <w:tcBorders>
              <w:top w:val="nil"/>
              <w:left w:val="nil"/>
              <w:bottom w:val="nil"/>
              <w:right w:val="nil"/>
            </w:tcBorders>
            <w:shd w:val="clear" w:color="auto" w:fill="auto"/>
            <w:vAlign w:val="center"/>
          </w:tcPr>
          <w:p w14:paraId="52D85994">
            <w:pPr>
              <w:rPr>
                <w:rFonts w:ascii="宋体" w:hAnsi="宋体" w:cs="宋体"/>
                <w:color w:val="auto"/>
                <w:sz w:val="21"/>
                <w:szCs w:val="21"/>
              </w:rPr>
            </w:pPr>
          </w:p>
        </w:tc>
        <w:tc>
          <w:tcPr>
            <w:tcW w:w="1518" w:type="dxa"/>
            <w:gridSpan w:val="4"/>
            <w:tcBorders>
              <w:top w:val="nil"/>
              <w:left w:val="nil"/>
              <w:bottom w:val="nil"/>
              <w:right w:val="nil"/>
            </w:tcBorders>
            <w:shd w:val="clear" w:color="auto" w:fill="auto"/>
            <w:vAlign w:val="center"/>
          </w:tcPr>
          <w:p w14:paraId="2506062E">
            <w:pPr>
              <w:rPr>
                <w:rFonts w:ascii="宋体" w:hAnsi="宋体" w:cs="宋体"/>
                <w:color w:val="auto"/>
                <w:sz w:val="21"/>
                <w:szCs w:val="21"/>
              </w:rPr>
            </w:pPr>
          </w:p>
        </w:tc>
        <w:tc>
          <w:tcPr>
            <w:tcW w:w="236" w:type="dxa"/>
            <w:tcBorders>
              <w:top w:val="nil"/>
              <w:left w:val="nil"/>
              <w:bottom w:val="nil"/>
              <w:right w:val="nil"/>
            </w:tcBorders>
            <w:shd w:val="clear" w:color="auto" w:fill="auto"/>
            <w:vAlign w:val="center"/>
          </w:tcPr>
          <w:p w14:paraId="2DFBAAEC">
            <w:pPr>
              <w:rPr>
                <w:rFonts w:ascii="宋体" w:hAnsi="宋体" w:cs="宋体"/>
                <w:color w:val="auto"/>
                <w:sz w:val="21"/>
                <w:szCs w:val="21"/>
              </w:rPr>
            </w:pPr>
          </w:p>
        </w:tc>
        <w:tc>
          <w:tcPr>
            <w:tcW w:w="706" w:type="dxa"/>
            <w:gridSpan w:val="2"/>
            <w:tcBorders>
              <w:top w:val="nil"/>
              <w:left w:val="nil"/>
              <w:bottom w:val="nil"/>
              <w:right w:val="nil"/>
            </w:tcBorders>
            <w:shd w:val="clear" w:color="auto" w:fill="auto"/>
            <w:vAlign w:val="center"/>
          </w:tcPr>
          <w:p w14:paraId="51390328">
            <w:pPr>
              <w:rPr>
                <w:rFonts w:ascii="宋体" w:hAnsi="宋体" w:cs="宋体"/>
                <w:color w:val="auto"/>
                <w:sz w:val="21"/>
                <w:szCs w:val="21"/>
              </w:rPr>
            </w:pPr>
          </w:p>
        </w:tc>
        <w:tc>
          <w:tcPr>
            <w:tcW w:w="1582" w:type="dxa"/>
            <w:gridSpan w:val="4"/>
            <w:tcBorders>
              <w:top w:val="single" w:color="auto" w:sz="4" w:space="0"/>
              <w:left w:val="nil"/>
              <w:bottom w:val="nil"/>
              <w:right w:val="nil"/>
            </w:tcBorders>
            <w:shd w:val="clear" w:color="auto" w:fill="auto"/>
            <w:vAlign w:val="center"/>
          </w:tcPr>
          <w:p w14:paraId="33F1DE2B">
            <w:pPr>
              <w:rPr>
                <w:rFonts w:ascii="宋体" w:hAnsi="宋体" w:cs="宋体"/>
                <w:color w:val="auto"/>
                <w:sz w:val="21"/>
                <w:szCs w:val="21"/>
              </w:rPr>
            </w:pPr>
          </w:p>
        </w:tc>
        <w:tc>
          <w:tcPr>
            <w:tcW w:w="371" w:type="dxa"/>
            <w:tcBorders>
              <w:top w:val="single" w:color="auto" w:sz="4" w:space="0"/>
              <w:left w:val="nil"/>
              <w:bottom w:val="nil"/>
              <w:right w:val="nil"/>
            </w:tcBorders>
            <w:shd w:val="clear" w:color="auto" w:fill="auto"/>
            <w:vAlign w:val="center"/>
          </w:tcPr>
          <w:p w14:paraId="27C62097">
            <w:pPr>
              <w:rPr>
                <w:rFonts w:ascii="宋体" w:hAnsi="宋体" w:cs="宋体"/>
                <w:color w:val="auto"/>
                <w:sz w:val="21"/>
                <w:szCs w:val="21"/>
              </w:rPr>
            </w:pPr>
          </w:p>
        </w:tc>
        <w:tc>
          <w:tcPr>
            <w:tcW w:w="4962" w:type="dxa"/>
            <w:gridSpan w:val="8"/>
            <w:tcBorders>
              <w:top w:val="nil"/>
              <w:left w:val="nil"/>
              <w:bottom w:val="nil"/>
              <w:right w:val="nil"/>
            </w:tcBorders>
            <w:shd w:val="clear" w:color="auto" w:fill="auto"/>
            <w:vAlign w:val="center"/>
          </w:tcPr>
          <w:p w14:paraId="5E43DF1F">
            <w:pPr>
              <w:rPr>
                <w:rFonts w:ascii="宋体" w:hAnsi="宋体" w:cs="宋体"/>
                <w:color w:val="auto"/>
                <w:sz w:val="21"/>
                <w:szCs w:val="21"/>
              </w:rPr>
            </w:pPr>
            <w:r>
              <w:rPr>
                <w:rFonts w:hint="eastAsia" w:ascii="宋体" w:hAnsi="宋体" w:cs="宋体"/>
                <w:color w:val="auto"/>
                <w:sz w:val="21"/>
                <w:szCs w:val="21"/>
              </w:rPr>
              <w:t xml:space="preserve">打印日期：     </w:t>
            </w:r>
            <w:r>
              <w:rPr>
                <w:rFonts w:hint="eastAsia" w:ascii="宋体" w:hAnsi="宋体" w:cs="宋体"/>
                <w:color w:val="auto"/>
                <w:kern w:val="0"/>
                <w:sz w:val="21"/>
                <w:szCs w:val="21"/>
              </w:rPr>
              <w:t>年     月     日</w:t>
            </w:r>
          </w:p>
        </w:tc>
      </w:tr>
    </w:tbl>
    <w:p w14:paraId="2E0E3C47">
      <w:pPr>
        <w:tabs>
          <w:tab w:val="left" w:pos="361"/>
        </w:tabs>
        <w:jc w:val="left"/>
        <w:rPr>
          <w:color w:val="auto"/>
        </w:rPr>
      </w:pPr>
    </w:p>
    <w:p w14:paraId="0AA12184">
      <w:pPr>
        <w:tabs>
          <w:tab w:val="left" w:pos="361"/>
        </w:tabs>
        <w:jc w:val="left"/>
        <w:rPr>
          <w:color w:val="auto"/>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7FD8A5B9">
      <w:pPr>
        <w:widowControl/>
        <w:textAlignment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附件7</w:t>
      </w:r>
    </w:p>
    <w:tbl>
      <w:tblPr>
        <w:tblStyle w:val="8"/>
        <w:tblW w:w="8689" w:type="dxa"/>
        <w:tblInd w:w="0" w:type="dxa"/>
        <w:tblLayout w:type="fixed"/>
        <w:tblCellMar>
          <w:top w:w="0" w:type="dxa"/>
          <w:left w:w="108" w:type="dxa"/>
          <w:bottom w:w="0" w:type="dxa"/>
          <w:right w:w="108" w:type="dxa"/>
        </w:tblCellMar>
      </w:tblPr>
      <w:tblGrid>
        <w:gridCol w:w="673"/>
        <w:gridCol w:w="552"/>
        <w:gridCol w:w="591"/>
        <w:gridCol w:w="909"/>
        <w:gridCol w:w="168"/>
        <w:gridCol w:w="1128"/>
        <w:gridCol w:w="288"/>
        <w:gridCol w:w="1260"/>
        <w:gridCol w:w="82"/>
        <w:gridCol w:w="1106"/>
        <w:gridCol w:w="444"/>
        <w:gridCol w:w="159"/>
        <w:gridCol w:w="1329"/>
      </w:tblGrid>
      <w:tr w14:paraId="4A180018">
        <w:tblPrEx>
          <w:tblCellMar>
            <w:top w:w="0" w:type="dxa"/>
            <w:left w:w="108" w:type="dxa"/>
            <w:bottom w:w="0" w:type="dxa"/>
            <w:right w:w="108" w:type="dxa"/>
          </w:tblCellMar>
        </w:tblPrEx>
        <w:trPr>
          <w:trHeight w:val="444" w:hRule="atLeast"/>
        </w:trPr>
        <w:tc>
          <w:tcPr>
            <w:tcW w:w="8689" w:type="dxa"/>
            <w:gridSpan w:val="13"/>
            <w:tcBorders>
              <w:top w:val="nil"/>
              <w:left w:val="nil"/>
              <w:bottom w:val="nil"/>
              <w:right w:val="nil"/>
            </w:tcBorders>
            <w:vAlign w:val="center"/>
          </w:tcPr>
          <w:p w14:paraId="6E78D92D">
            <w:pPr>
              <w:widowControl/>
              <w:jc w:val="center"/>
              <w:rPr>
                <w:rFonts w:ascii="方正小标宋_GBK" w:hAnsi="宋体" w:eastAsia="方正小标宋_GBK" w:cs="宋体"/>
                <w:color w:val="auto"/>
                <w:kern w:val="0"/>
                <w:sz w:val="36"/>
                <w:szCs w:val="36"/>
              </w:rPr>
            </w:pPr>
            <w:r>
              <w:rPr>
                <w:rFonts w:hint="eastAsia" w:ascii="方正小标宋简体" w:hAnsi="方正小标宋简体" w:eastAsia="方正小标宋简体" w:cs="方正小标宋简体"/>
                <w:color w:val="auto"/>
                <w:spacing w:val="-11"/>
                <w:kern w:val="0"/>
                <w:sz w:val="44"/>
                <w:szCs w:val="44"/>
              </w:rPr>
              <w:t>居民基本养老保险缴费信息和待遇享受告知书</w:t>
            </w:r>
          </w:p>
        </w:tc>
      </w:tr>
      <w:tr w14:paraId="3EC2DF2D">
        <w:tblPrEx>
          <w:tblCellMar>
            <w:top w:w="0" w:type="dxa"/>
            <w:left w:w="108" w:type="dxa"/>
            <w:bottom w:w="0" w:type="dxa"/>
            <w:right w:w="108" w:type="dxa"/>
          </w:tblCellMar>
        </w:tblPrEx>
        <w:trPr>
          <w:trHeight w:val="288" w:hRule="atLeast"/>
        </w:trPr>
        <w:tc>
          <w:tcPr>
            <w:tcW w:w="8689" w:type="dxa"/>
            <w:gridSpan w:val="13"/>
            <w:tcBorders>
              <w:top w:val="nil"/>
              <w:left w:val="nil"/>
              <w:bottom w:val="single" w:color="auto" w:sz="4" w:space="0"/>
              <w:right w:val="nil"/>
            </w:tcBorders>
            <w:vAlign w:val="bottom"/>
          </w:tcPr>
          <w:p w14:paraId="27949EA4">
            <w:pPr>
              <w:spacing w:line="400" w:lineRule="exact"/>
              <w:rPr>
                <w:rFonts w:ascii="宋体" w:hAnsi="宋体" w:cs="宋体"/>
                <w:color w:val="auto"/>
                <w:kern w:val="0"/>
                <w:sz w:val="21"/>
                <w:szCs w:val="21"/>
              </w:rPr>
            </w:pPr>
            <w:r>
              <w:rPr>
                <w:rFonts w:hint="eastAsia" w:ascii="宋体" w:hAnsi="宋体" w:cs="宋体"/>
                <w:color w:val="auto"/>
                <w:kern w:val="0"/>
                <w:sz w:val="21"/>
                <w:szCs w:val="21"/>
              </w:rPr>
              <w:t>乡镇（街道) ：              村(居)委会：         填表日期：    年     月    日</w:t>
            </w:r>
          </w:p>
        </w:tc>
      </w:tr>
      <w:tr w14:paraId="0E7426CE">
        <w:tblPrEx>
          <w:tblCellMar>
            <w:top w:w="0" w:type="dxa"/>
            <w:left w:w="108" w:type="dxa"/>
            <w:bottom w:w="0" w:type="dxa"/>
            <w:right w:w="108" w:type="dxa"/>
          </w:tblCellMar>
        </w:tblPrEx>
        <w:trPr>
          <w:trHeight w:val="372" w:hRule="atLeast"/>
        </w:trPr>
        <w:tc>
          <w:tcPr>
            <w:tcW w:w="673" w:type="dxa"/>
            <w:vMerge w:val="restart"/>
            <w:tcBorders>
              <w:top w:val="nil"/>
              <w:left w:val="single" w:color="auto" w:sz="4" w:space="0"/>
              <w:right w:val="single" w:color="auto" w:sz="4" w:space="0"/>
            </w:tcBorders>
            <w:vAlign w:val="center"/>
          </w:tcPr>
          <w:p w14:paraId="500067A8">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参保信息</w:t>
            </w:r>
          </w:p>
        </w:tc>
        <w:tc>
          <w:tcPr>
            <w:tcW w:w="1143" w:type="dxa"/>
            <w:gridSpan w:val="2"/>
            <w:tcBorders>
              <w:top w:val="nil"/>
              <w:left w:val="nil"/>
              <w:bottom w:val="single" w:color="auto" w:sz="4" w:space="0"/>
              <w:right w:val="single" w:color="auto" w:sz="4" w:space="0"/>
            </w:tcBorders>
            <w:vAlign w:val="center"/>
          </w:tcPr>
          <w:p w14:paraId="09114C3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909" w:type="dxa"/>
            <w:tcBorders>
              <w:top w:val="nil"/>
              <w:left w:val="nil"/>
              <w:bottom w:val="single" w:color="auto" w:sz="4" w:space="0"/>
              <w:right w:val="single" w:color="auto" w:sz="4" w:space="0"/>
            </w:tcBorders>
            <w:vAlign w:val="center"/>
          </w:tcPr>
          <w:p w14:paraId="6390263C">
            <w:pPr>
              <w:spacing w:line="400" w:lineRule="exact"/>
              <w:jc w:val="center"/>
              <w:rPr>
                <w:rFonts w:ascii="宋体" w:hAnsi="宋体" w:cs="宋体"/>
                <w:color w:val="auto"/>
                <w:kern w:val="0"/>
                <w:sz w:val="21"/>
                <w:szCs w:val="21"/>
              </w:rPr>
            </w:pPr>
          </w:p>
        </w:tc>
        <w:tc>
          <w:tcPr>
            <w:tcW w:w="1584" w:type="dxa"/>
            <w:gridSpan w:val="3"/>
            <w:tcBorders>
              <w:top w:val="nil"/>
              <w:left w:val="nil"/>
              <w:bottom w:val="single" w:color="auto" w:sz="4" w:space="0"/>
              <w:right w:val="single" w:color="auto" w:sz="4" w:space="0"/>
            </w:tcBorders>
            <w:vAlign w:val="center"/>
          </w:tcPr>
          <w:p w14:paraId="52A721A1">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1342" w:type="dxa"/>
            <w:gridSpan w:val="2"/>
            <w:tcBorders>
              <w:top w:val="single" w:color="auto" w:sz="4" w:space="0"/>
              <w:left w:val="nil"/>
              <w:bottom w:val="single" w:color="auto" w:sz="4" w:space="0"/>
              <w:right w:val="single" w:color="auto" w:sz="4" w:space="0"/>
            </w:tcBorders>
            <w:vAlign w:val="center"/>
          </w:tcPr>
          <w:p w14:paraId="30AA3F4E">
            <w:pPr>
              <w:spacing w:line="400" w:lineRule="exact"/>
              <w:jc w:val="center"/>
              <w:rPr>
                <w:rFonts w:ascii="宋体" w:hAnsi="宋体" w:cs="宋体"/>
                <w:color w:val="auto"/>
                <w:kern w:val="0"/>
                <w:sz w:val="21"/>
                <w:szCs w:val="21"/>
              </w:rPr>
            </w:pPr>
          </w:p>
        </w:tc>
        <w:tc>
          <w:tcPr>
            <w:tcW w:w="1709" w:type="dxa"/>
            <w:gridSpan w:val="3"/>
            <w:tcBorders>
              <w:top w:val="nil"/>
              <w:left w:val="nil"/>
              <w:bottom w:val="single" w:color="auto" w:sz="4" w:space="0"/>
              <w:right w:val="single" w:color="auto" w:sz="4" w:space="0"/>
            </w:tcBorders>
            <w:vAlign w:val="center"/>
          </w:tcPr>
          <w:p w14:paraId="0B94378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1329" w:type="dxa"/>
            <w:tcBorders>
              <w:top w:val="nil"/>
              <w:left w:val="single" w:color="auto" w:sz="4" w:space="0"/>
              <w:bottom w:val="single" w:color="auto" w:sz="4" w:space="0"/>
              <w:right w:val="single" w:color="auto" w:sz="4" w:space="0"/>
            </w:tcBorders>
            <w:vAlign w:val="center"/>
          </w:tcPr>
          <w:p w14:paraId="2202582D">
            <w:pPr>
              <w:spacing w:line="400" w:lineRule="exact"/>
              <w:jc w:val="center"/>
              <w:rPr>
                <w:rFonts w:ascii="宋体" w:hAnsi="宋体" w:cs="宋体"/>
                <w:color w:val="auto"/>
                <w:kern w:val="0"/>
                <w:sz w:val="21"/>
                <w:szCs w:val="21"/>
              </w:rPr>
            </w:pPr>
          </w:p>
        </w:tc>
      </w:tr>
      <w:tr w14:paraId="69934597">
        <w:tblPrEx>
          <w:tblCellMar>
            <w:top w:w="0" w:type="dxa"/>
            <w:left w:w="108" w:type="dxa"/>
            <w:bottom w:w="0" w:type="dxa"/>
            <w:right w:w="108" w:type="dxa"/>
          </w:tblCellMar>
        </w:tblPrEx>
        <w:trPr>
          <w:trHeight w:val="372" w:hRule="atLeast"/>
        </w:trPr>
        <w:tc>
          <w:tcPr>
            <w:tcW w:w="673" w:type="dxa"/>
            <w:vMerge w:val="continue"/>
            <w:tcBorders>
              <w:left w:val="single" w:color="auto" w:sz="4" w:space="0"/>
              <w:right w:val="single" w:color="auto" w:sz="4" w:space="0"/>
            </w:tcBorders>
            <w:vAlign w:val="center"/>
          </w:tcPr>
          <w:p w14:paraId="010509D7">
            <w:pPr>
              <w:spacing w:line="400" w:lineRule="exact"/>
              <w:jc w:val="center"/>
              <w:rPr>
                <w:rFonts w:ascii="宋体" w:hAnsi="宋体" w:cs="宋体"/>
                <w:color w:val="auto"/>
                <w:kern w:val="0"/>
                <w:sz w:val="21"/>
                <w:szCs w:val="21"/>
              </w:rPr>
            </w:pPr>
          </w:p>
        </w:tc>
        <w:tc>
          <w:tcPr>
            <w:tcW w:w="1143" w:type="dxa"/>
            <w:gridSpan w:val="2"/>
            <w:tcBorders>
              <w:top w:val="nil"/>
              <w:left w:val="nil"/>
              <w:bottom w:val="single" w:color="auto" w:sz="4" w:space="0"/>
              <w:right w:val="single" w:color="auto" w:sz="4" w:space="0"/>
            </w:tcBorders>
            <w:vAlign w:val="center"/>
          </w:tcPr>
          <w:p w14:paraId="22D6F0A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909" w:type="dxa"/>
            <w:tcBorders>
              <w:top w:val="nil"/>
              <w:left w:val="nil"/>
              <w:bottom w:val="single" w:color="auto" w:sz="4" w:space="0"/>
              <w:right w:val="single" w:color="auto" w:sz="4" w:space="0"/>
            </w:tcBorders>
            <w:vAlign w:val="center"/>
          </w:tcPr>
          <w:p w14:paraId="4B4EC512">
            <w:pPr>
              <w:spacing w:line="400" w:lineRule="exact"/>
              <w:jc w:val="center"/>
              <w:rPr>
                <w:rFonts w:ascii="宋体" w:hAnsi="宋体" w:cs="宋体"/>
                <w:color w:val="auto"/>
                <w:kern w:val="0"/>
                <w:sz w:val="21"/>
                <w:szCs w:val="21"/>
              </w:rPr>
            </w:pPr>
          </w:p>
        </w:tc>
        <w:tc>
          <w:tcPr>
            <w:tcW w:w="1584" w:type="dxa"/>
            <w:gridSpan w:val="3"/>
            <w:vMerge w:val="restart"/>
            <w:tcBorders>
              <w:top w:val="nil"/>
              <w:left w:val="single" w:color="auto" w:sz="4" w:space="0"/>
              <w:bottom w:val="single" w:color="auto" w:sz="4" w:space="0"/>
              <w:right w:val="single" w:color="auto" w:sz="4" w:space="0"/>
            </w:tcBorders>
            <w:vAlign w:val="center"/>
          </w:tcPr>
          <w:p w14:paraId="22A3976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累计缴费</w:t>
            </w:r>
          </w:p>
          <w:p w14:paraId="3C2B6E30">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年    限</w:t>
            </w:r>
          </w:p>
        </w:tc>
        <w:tc>
          <w:tcPr>
            <w:tcW w:w="1342" w:type="dxa"/>
            <w:gridSpan w:val="2"/>
            <w:vMerge w:val="restart"/>
            <w:tcBorders>
              <w:top w:val="nil"/>
              <w:left w:val="nil"/>
              <w:right w:val="single" w:color="auto" w:sz="4" w:space="0"/>
            </w:tcBorders>
            <w:vAlign w:val="center"/>
          </w:tcPr>
          <w:p w14:paraId="12BC201B">
            <w:pPr>
              <w:spacing w:line="400" w:lineRule="exact"/>
              <w:jc w:val="center"/>
              <w:rPr>
                <w:rFonts w:ascii="宋体" w:hAnsi="宋体" w:cs="宋体"/>
                <w:color w:val="auto"/>
                <w:kern w:val="0"/>
                <w:sz w:val="21"/>
                <w:szCs w:val="21"/>
              </w:rPr>
            </w:pPr>
          </w:p>
          <w:p w14:paraId="1842EFB7">
            <w:pPr>
              <w:spacing w:line="400" w:lineRule="exact"/>
              <w:jc w:val="center"/>
              <w:rPr>
                <w:rFonts w:ascii="宋体" w:hAnsi="宋体" w:cs="宋体"/>
                <w:color w:val="auto"/>
                <w:kern w:val="0"/>
                <w:sz w:val="21"/>
                <w:szCs w:val="21"/>
              </w:rPr>
            </w:pPr>
          </w:p>
        </w:tc>
        <w:tc>
          <w:tcPr>
            <w:tcW w:w="1709" w:type="dxa"/>
            <w:gridSpan w:val="3"/>
            <w:tcBorders>
              <w:top w:val="nil"/>
              <w:left w:val="nil"/>
              <w:bottom w:val="single" w:color="auto" w:sz="4" w:space="0"/>
              <w:right w:val="single" w:color="auto" w:sz="4" w:space="0"/>
            </w:tcBorders>
            <w:vAlign w:val="center"/>
          </w:tcPr>
          <w:p w14:paraId="22EFE7D8">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最低应缴费年限</w:t>
            </w:r>
          </w:p>
        </w:tc>
        <w:tc>
          <w:tcPr>
            <w:tcW w:w="1329" w:type="dxa"/>
            <w:tcBorders>
              <w:top w:val="nil"/>
              <w:left w:val="nil"/>
              <w:bottom w:val="single" w:color="auto" w:sz="4" w:space="0"/>
              <w:right w:val="single" w:color="auto" w:sz="4" w:space="0"/>
            </w:tcBorders>
            <w:vAlign w:val="center"/>
          </w:tcPr>
          <w:p w14:paraId="71C93082">
            <w:pPr>
              <w:spacing w:line="400" w:lineRule="exact"/>
              <w:jc w:val="center"/>
              <w:rPr>
                <w:rFonts w:ascii="宋体" w:hAnsi="宋体" w:cs="宋体"/>
                <w:color w:val="auto"/>
                <w:kern w:val="0"/>
                <w:sz w:val="21"/>
                <w:szCs w:val="21"/>
              </w:rPr>
            </w:pPr>
          </w:p>
        </w:tc>
      </w:tr>
      <w:tr w14:paraId="04F0D738">
        <w:tblPrEx>
          <w:tblCellMar>
            <w:top w:w="0" w:type="dxa"/>
            <w:left w:w="108" w:type="dxa"/>
            <w:bottom w:w="0" w:type="dxa"/>
            <w:right w:w="108" w:type="dxa"/>
          </w:tblCellMar>
        </w:tblPrEx>
        <w:trPr>
          <w:trHeight w:val="372" w:hRule="atLeast"/>
        </w:trPr>
        <w:tc>
          <w:tcPr>
            <w:tcW w:w="673" w:type="dxa"/>
            <w:vMerge w:val="continue"/>
            <w:tcBorders>
              <w:left w:val="single" w:color="auto" w:sz="4" w:space="0"/>
              <w:right w:val="single" w:color="auto" w:sz="4" w:space="0"/>
            </w:tcBorders>
            <w:vAlign w:val="center"/>
          </w:tcPr>
          <w:p w14:paraId="1B1584FA">
            <w:pPr>
              <w:spacing w:line="400" w:lineRule="exact"/>
              <w:jc w:val="center"/>
              <w:rPr>
                <w:rFonts w:ascii="宋体" w:hAnsi="宋体" w:cs="宋体"/>
                <w:color w:val="auto"/>
                <w:kern w:val="0"/>
                <w:sz w:val="21"/>
                <w:szCs w:val="21"/>
              </w:rPr>
            </w:pPr>
          </w:p>
        </w:tc>
        <w:tc>
          <w:tcPr>
            <w:tcW w:w="1143" w:type="dxa"/>
            <w:gridSpan w:val="2"/>
            <w:tcBorders>
              <w:top w:val="nil"/>
              <w:left w:val="nil"/>
              <w:bottom w:val="single" w:color="auto" w:sz="4" w:space="0"/>
              <w:right w:val="single" w:color="auto" w:sz="4" w:space="0"/>
            </w:tcBorders>
            <w:vAlign w:val="center"/>
          </w:tcPr>
          <w:p w14:paraId="2547343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到龄日期</w:t>
            </w:r>
          </w:p>
        </w:tc>
        <w:tc>
          <w:tcPr>
            <w:tcW w:w="909" w:type="dxa"/>
            <w:tcBorders>
              <w:top w:val="nil"/>
              <w:left w:val="nil"/>
              <w:bottom w:val="single" w:color="auto" w:sz="4" w:space="0"/>
              <w:right w:val="single" w:color="auto" w:sz="4" w:space="0"/>
            </w:tcBorders>
            <w:vAlign w:val="center"/>
          </w:tcPr>
          <w:p w14:paraId="69E7FFDD">
            <w:pPr>
              <w:spacing w:line="400" w:lineRule="exact"/>
              <w:jc w:val="center"/>
              <w:rPr>
                <w:rFonts w:ascii="宋体" w:hAnsi="宋体" w:cs="宋体"/>
                <w:color w:val="auto"/>
                <w:kern w:val="0"/>
                <w:sz w:val="21"/>
                <w:szCs w:val="21"/>
              </w:rPr>
            </w:pPr>
          </w:p>
        </w:tc>
        <w:tc>
          <w:tcPr>
            <w:tcW w:w="1584" w:type="dxa"/>
            <w:gridSpan w:val="3"/>
            <w:vMerge w:val="continue"/>
            <w:tcBorders>
              <w:top w:val="nil"/>
              <w:left w:val="single" w:color="auto" w:sz="4" w:space="0"/>
              <w:bottom w:val="single" w:color="auto" w:sz="4" w:space="0"/>
              <w:right w:val="single" w:color="auto" w:sz="4" w:space="0"/>
            </w:tcBorders>
            <w:vAlign w:val="center"/>
          </w:tcPr>
          <w:p w14:paraId="1B7410E0">
            <w:pPr>
              <w:spacing w:line="400" w:lineRule="exact"/>
              <w:jc w:val="center"/>
              <w:rPr>
                <w:rFonts w:ascii="宋体" w:hAnsi="宋体" w:cs="宋体"/>
                <w:color w:val="auto"/>
                <w:kern w:val="0"/>
                <w:sz w:val="21"/>
                <w:szCs w:val="21"/>
              </w:rPr>
            </w:pPr>
          </w:p>
        </w:tc>
        <w:tc>
          <w:tcPr>
            <w:tcW w:w="1342" w:type="dxa"/>
            <w:gridSpan w:val="2"/>
            <w:vMerge w:val="continue"/>
            <w:tcBorders>
              <w:left w:val="nil"/>
              <w:bottom w:val="single" w:color="auto" w:sz="4" w:space="0"/>
              <w:right w:val="single" w:color="auto" w:sz="4" w:space="0"/>
            </w:tcBorders>
            <w:vAlign w:val="center"/>
          </w:tcPr>
          <w:p w14:paraId="5FA9C531">
            <w:pPr>
              <w:spacing w:line="400" w:lineRule="exact"/>
              <w:jc w:val="center"/>
              <w:rPr>
                <w:rFonts w:ascii="宋体" w:hAnsi="宋体" w:cs="宋体"/>
                <w:color w:val="auto"/>
                <w:kern w:val="0"/>
                <w:sz w:val="21"/>
                <w:szCs w:val="21"/>
              </w:rPr>
            </w:pPr>
          </w:p>
        </w:tc>
        <w:tc>
          <w:tcPr>
            <w:tcW w:w="1709" w:type="dxa"/>
            <w:gridSpan w:val="3"/>
            <w:tcBorders>
              <w:top w:val="nil"/>
              <w:left w:val="nil"/>
              <w:bottom w:val="single" w:color="auto" w:sz="4" w:space="0"/>
              <w:right w:val="single" w:color="auto" w:sz="4" w:space="0"/>
            </w:tcBorders>
            <w:vAlign w:val="center"/>
          </w:tcPr>
          <w:p w14:paraId="4E77C227">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个人账户金额</w:t>
            </w:r>
          </w:p>
        </w:tc>
        <w:tc>
          <w:tcPr>
            <w:tcW w:w="1329" w:type="dxa"/>
            <w:tcBorders>
              <w:top w:val="nil"/>
              <w:left w:val="nil"/>
              <w:bottom w:val="single" w:color="auto" w:sz="4" w:space="0"/>
              <w:right w:val="single" w:color="auto" w:sz="4" w:space="0"/>
            </w:tcBorders>
            <w:vAlign w:val="center"/>
          </w:tcPr>
          <w:p w14:paraId="5ED1A8BB">
            <w:pPr>
              <w:spacing w:line="400" w:lineRule="exact"/>
              <w:jc w:val="center"/>
              <w:rPr>
                <w:rFonts w:ascii="宋体" w:hAnsi="宋体" w:cs="宋体"/>
                <w:color w:val="auto"/>
                <w:kern w:val="0"/>
                <w:sz w:val="21"/>
                <w:szCs w:val="21"/>
              </w:rPr>
            </w:pPr>
          </w:p>
        </w:tc>
      </w:tr>
      <w:tr w14:paraId="09EBD1D7">
        <w:tblPrEx>
          <w:tblCellMar>
            <w:top w:w="0" w:type="dxa"/>
            <w:left w:w="108" w:type="dxa"/>
            <w:bottom w:w="0" w:type="dxa"/>
            <w:right w:w="108" w:type="dxa"/>
          </w:tblCellMar>
        </w:tblPrEx>
        <w:trPr>
          <w:trHeight w:val="372" w:hRule="atLeast"/>
        </w:trPr>
        <w:tc>
          <w:tcPr>
            <w:tcW w:w="673" w:type="dxa"/>
            <w:vMerge w:val="continue"/>
            <w:tcBorders>
              <w:left w:val="single" w:color="auto" w:sz="4" w:space="0"/>
              <w:bottom w:val="single" w:color="auto" w:sz="4" w:space="0"/>
              <w:right w:val="single" w:color="auto" w:sz="4" w:space="0"/>
            </w:tcBorders>
            <w:vAlign w:val="center"/>
          </w:tcPr>
          <w:p w14:paraId="185ED0EC">
            <w:pPr>
              <w:spacing w:line="400" w:lineRule="exact"/>
              <w:jc w:val="center"/>
              <w:rPr>
                <w:rFonts w:ascii="宋体" w:hAnsi="宋体" w:cs="宋体"/>
                <w:color w:val="auto"/>
                <w:kern w:val="0"/>
                <w:sz w:val="21"/>
                <w:szCs w:val="21"/>
              </w:rPr>
            </w:pPr>
          </w:p>
        </w:tc>
        <w:tc>
          <w:tcPr>
            <w:tcW w:w="3636" w:type="dxa"/>
            <w:gridSpan w:val="6"/>
            <w:tcBorders>
              <w:top w:val="nil"/>
              <w:left w:val="nil"/>
              <w:bottom w:val="single" w:color="auto" w:sz="4" w:space="0"/>
              <w:right w:val="single" w:color="auto" w:sz="4" w:space="0"/>
            </w:tcBorders>
            <w:vAlign w:val="center"/>
          </w:tcPr>
          <w:p w14:paraId="6E743B0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省内职工养老保险最后参保地</w:t>
            </w:r>
          </w:p>
        </w:tc>
        <w:tc>
          <w:tcPr>
            <w:tcW w:w="4380" w:type="dxa"/>
            <w:gridSpan w:val="6"/>
            <w:tcBorders>
              <w:top w:val="nil"/>
              <w:left w:val="single" w:color="auto" w:sz="4" w:space="0"/>
              <w:bottom w:val="single" w:color="auto" w:sz="4" w:space="0"/>
              <w:right w:val="single" w:color="auto" w:sz="4" w:space="0"/>
            </w:tcBorders>
            <w:vAlign w:val="center"/>
          </w:tcPr>
          <w:p w14:paraId="0CD31E7A">
            <w:pPr>
              <w:spacing w:line="400" w:lineRule="exact"/>
              <w:jc w:val="center"/>
              <w:rPr>
                <w:rFonts w:ascii="宋体" w:hAnsi="宋体" w:cs="宋体"/>
                <w:color w:val="auto"/>
                <w:kern w:val="0"/>
                <w:sz w:val="21"/>
                <w:szCs w:val="21"/>
              </w:rPr>
            </w:pPr>
          </w:p>
        </w:tc>
      </w:tr>
      <w:tr w14:paraId="3350B742">
        <w:tblPrEx>
          <w:tblCellMar>
            <w:top w:w="0" w:type="dxa"/>
            <w:left w:w="108" w:type="dxa"/>
            <w:bottom w:w="0" w:type="dxa"/>
            <w:right w:w="108" w:type="dxa"/>
          </w:tblCellMar>
        </w:tblPrEx>
        <w:trPr>
          <w:trHeight w:val="547" w:hRule="atLeast"/>
        </w:trPr>
        <w:tc>
          <w:tcPr>
            <w:tcW w:w="673" w:type="dxa"/>
            <w:vMerge w:val="restart"/>
            <w:tcBorders>
              <w:top w:val="nil"/>
              <w:left w:val="single" w:color="auto" w:sz="4" w:space="0"/>
              <w:bottom w:val="single" w:color="auto" w:sz="4" w:space="0"/>
              <w:right w:val="single" w:color="auto" w:sz="4" w:space="0"/>
            </w:tcBorders>
            <w:vAlign w:val="center"/>
          </w:tcPr>
          <w:p w14:paraId="40F38E8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联系亲属资料</w:t>
            </w:r>
          </w:p>
        </w:tc>
        <w:tc>
          <w:tcPr>
            <w:tcW w:w="1143" w:type="dxa"/>
            <w:gridSpan w:val="2"/>
            <w:tcBorders>
              <w:top w:val="nil"/>
              <w:left w:val="nil"/>
              <w:bottom w:val="single" w:color="auto" w:sz="4" w:space="0"/>
              <w:right w:val="single" w:color="auto" w:sz="4" w:space="0"/>
            </w:tcBorders>
            <w:vAlign w:val="center"/>
          </w:tcPr>
          <w:p w14:paraId="6688334E">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909" w:type="dxa"/>
            <w:tcBorders>
              <w:top w:val="nil"/>
              <w:left w:val="nil"/>
              <w:bottom w:val="single" w:color="auto" w:sz="4" w:space="0"/>
              <w:right w:val="single" w:color="auto" w:sz="4" w:space="0"/>
            </w:tcBorders>
            <w:vAlign w:val="center"/>
          </w:tcPr>
          <w:p w14:paraId="6B98007E">
            <w:pPr>
              <w:spacing w:line="400" w:lineRule="exact"/>
              <w:jc w:val="center"/>
              <w:rPr>
                <w:rFonts w:ascii="宋体" w:hAnsi="宋体" w:cs="宋体"/>
                <w:color w:val="auto"/>
                <w:kern w:val="0"/>
                <w:sz w:val="21"/>
                <w:szCs w:val="21"/>
              </w:rPr>
            </w:pPr>
          </w:p>
        </w:tc>
        <w:tc>
          <w:tcPr>
            <w:tcW w:w="1584" w:type="dxa"/>
            <w:gridSpan w:val="3"/>
            <w:tcBorders>
              <w:top w:val="nil"/>
              <w:left w:val="nil"/>
              <w:bottom w:val="single" w:color="auto" w:sz="4" w:space="0"/>
              <w:right w:val="single" w:color="auto" w:sz="4" w:space="0"/>
            </w:tcBorders>
            <w:vAlign w:val="center"/>
          </w:tcPr>
          <w:p w14:paraId="10649881">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1342" w:type="dxa"/>
            <w:gridSpan w:val="2"/>
            <w:tcBorders>
              <w:top w:val="single" w:color="auto" w:sz="4" w:space="0"/>
              <w:left w:val="nil"/>
              <w:bottom w:val="single" w:color="auto" w:sz="4" w:space="0"/>
              <w:right w:val="single" w:color="auto" w:sz="4" w:space="0"/>
            </w:tcBorders>
            <w:vAlign w:val="center"/>
          </w:tcPr>
          <w:p w14:paraId="20AFB662">
            <w:pPr>
              <w:spacing w:line="400" w:lineRule="exact"/>
              <w:jc w:val="center"/>
              <w:rPr>
                <w:rFonts w:ascii="宋体" w:hAnsi="宋体" w:cs="宋体"/>
                <w:color w:val="auto"/>
                <w:kern w:val="0"/>
                <w:sz w:val="21"/>
                <w:szCs w:val="21"/>
              </w:rPr>
            </w:pPr>
          </w:p>
        </w:tc>
        <w:tc>
          <w:tcPr>
            <w:tcW w:w="1550" w:type="dxa"/>
            <w:gridSpan w:val="2"/>
            <w:tcBorders>
              <w:top w:val="nil"/>
              <w:left w:val="nil"/>
              <w:bottom w:val="single" w:color="auto" w:sz="4" w:space="0"/>
              <w:right w:val="single" w:color="auto" w:sz="4" w:space="0"/>
            </w:tcBorders>
            <w:vAlign w:val="center"/>
          </w:tcPr>
          <w:p w14:paraId="1144A8F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与本人关系</w:t>
            </w:r>
          </w:p>
        </w:tc>
        <w:tc>
          <w:tcPr>
            <w:tcW w:w="1488" w:type="dxa"/>
            <w:gridSpan w:val="2"/>
            <w:tcBorders>
              <w:top w:val="nil"/>
              <w:left w:val="single" w:color="auto" w:sz="4" w:space="0"/>
              <w:bottom w:val="single" w:color="auto" w:sz="4" w:space="0"/>
              <w:right w:val="single" w:color="auto" w:sz="4" w:space="0"/>
            </w:tcBorders>
            <w:vAlign w:val="center"/>
          </w:tcPr>
          <w:p w14:paraId="137A360A">
            <w:pPr>
              <w:spacing w:line="400" w:lineRule="exact"/>
              <w:jc w:val="center"/>
              <w:rPr>
                <w:rFonts w:ascii="宋体" w:hAnsi="宋体" w:cs="宋体"/>
                <w:color w:val="auto"/>
                <w:kern w:val="0"/>
                <w:sz w:val="21"/>
                <w:szCs w:val="21"/>
              </w:rPr>
            </w:pPr>
          </w:p>
        </w:tc>
      </w:tr>
      <w:tr w14:paraId="712A4E99">
        <w:tblPrEx>
          <w:tblCellMar>
            <w:top w:w="0" w:type="dxa"/>
            <w:left w:w="108" w:type="dxa"/>
            <w:bottom w:w="0" w:type="dxa"/>
            <w:right w:w="108" w:type="dxa"/>
          </w:tblCellMar>
        </w:tblPrEx>
        <w:trPr>
          <w:trHeight w:val="544" w:hRule="atLeast"/>
        </w:trPr>
        <w:tc>
          <w:tcPr>
            <w:tcW w:w="673" w:type="dxa"/>
            <w:vMerge w:val="continue"/>
            <w:tcBorders>
              <w:top w:val="nil"/>
              <w:left w:val="single" w:color="auto" w:sz="4" w:space="0"/>
              <w:bottom w:val="single" w:color="auto" w:sz="4" w:space="0"/>
              <w:right w:val="single" w:color="auto" w:sz="4" w:space="0"/>
            </w:tcBorders>
            <w:vAlign w:val="center"/>
          </w:tcPr>
          <w:p w14:paraId="60D92084">
            <w:pPr>
              <w:spacing w:line="400" w:lineRule="exact"/>
              <w:jc w:val="center"/>
              <w:rPr>
                <w:rFonts w:ascii="宋体" w:hAnsi="宋体" w:cs="宋体"/>
                <w:color w:val="auto"/>
                <w:kern w:val="0"/>
                <w:sz w:val="21"/>
                <w:szCs w:val="21"/>
              </w:rPr>
            </w:pPr>
          </w:p>
        </w:tc>
        <w:tc>
          <w:tcPr>
            <w:tcW w:w="1143" w:type="dxa"/>
            <w:gridSpan w:val="2"/>
            <w:tcBorders>
              <w:top w:val="nil"/>
              <w:left w:val="nil"/>
              <w:bottom w:val="single" w:color="auto" w:sz="4" w:space="0"/>
              <w:right w:val="single" w:color="auto" w:sz="4" w:space="0"/>
            </w:tcBorders>
            <w:vAlign w:val="center"/>
          </w:tcPr>
          <w:p w14:paraId="385D04B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2493" w:type="dxa"/>
            <w:gridSpan w:val="4"/>
            <w:tcBorders>
              <w:top w:val="single" w:color="auto" w:sz="4" w:space="0"/>
              <w:left w:val="nil"/>
              <w:bottom w:val="single" w:color="auto" w:sz="4" w:space="0"/>
              <w:right w:val="single" w:color="auto" w:sz="4" w:space="0"/>
            </w:tcBorders>
            <w:vAlign w:val="center"/>
          </w:tcPr>
          <w:p w14:paraId="04E77812">
            <w:pPr>
              <w:spacing w:line="400" w:lineRule="exact"/>
              <w:jc w:val="center"/>
              <w:rPr>
                <w:rFonts w:ascii="宋体" w:hAnsi="宋体" w:cs="宋体"/>
                <w:color w:val="auto"/>
                <w:kern w:val="0"/>
                <w:sz w:val="21"/>
                <w:szCs w:val="21"/>
              </w:rPr>
            </w:pPr>
          </w:p>
        </w:tc>
        <w:tc>
          <w:tcPr>
            <w:tcW w:w="1342" w:type="dxa"/>
            <w:gridSpan w:val="2"/>
            <w:tcBorders>
              <w:top w:val="nil"/>
              <w:left w:val="nil"/>
              <w:bottom w:val="single" w:color="auto" w:sz="4" w:space="0"/>
              <w:right w:val="single" w:color="auto" w:sz="4" w:space="0"/>
            </w:tcBorders>
            <w:vAlign w:val="center"/>
          </w:tcPr>
          <w:p w14:paraId="7A82653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联系地址</w:t>
            </w:r>
          </w:p>
        </w:tc>
        <w:tc>
          <w:tcPr>
            <w:tcW w:w="3038" w:type="dxa"/>
            <w:gridSpan w:val="4"/>
            <w:tcBorders>
              <w:top w:val="single" w:color="auto" w:sz="4" w:space="0"/>
              <w:left w:val="nil"/>
              <w:bottom w:val="single" w:color="auto" w:sz="4" w:space="0"/>
              <w:right w:val="single" w:color="auto" w:sz="4" w:space="0"/>
            </w:tcBorders>
            <w:vAlign w:val="center"/>
          </w:tcPr>
          <w:p w14:paraId="5A2D27BB">
            <w:pPr>
              <w:spacing w:line="400" w:lineRule="exact"/>
              <w:jc w:val="center"/>
              <w:rPr>
                <w:rFonts w:ascii="宋体" w:hAnsi="宋体" w:cs="宋体"/>
                <w:color w:val="auto"/>
                <w:kern w:val="0"/>
                <w:sz w:val="21"/>
                <w:szCs w:val="21"/>
              </w:rPr>
            </w:pPr>
          </w:p>
        </w:tc>
      </w:tr>
      <w:tr w14:paraId="4019157E">
        <w:tblPrEx>
          <w:tblCellMar>
            <w:top w:w="0" w:type="dxa"/>
            <w:left w:w="108" w:type="dxa"/>
            <w:bottom w:w="0" w:type="dxa"/>
            <w:right w:w="108" w:type="dxa"/>
          </w:tblCellMar>
        </w:tblPrEx>
        <w:trPr>
          <w:trHeight w:val="5488" w:hRule="atLeast"/>
        </w:trPr>
        <w:tc>
          <w:tcPr>
            <w:tcW w:w="673" w:type="dxa"/>
            <w:tcBorders>
              <w:top w:val="nil"/>
              <w:left w:val="single" w:color="auto" w:sz="4" w:space="0"/>
              <w:bottom w:val="single" w:color="auto" w:sz="4" w:space="0"/>
              <w:right w:val="single" w:color="auto" w:sz="4" w:space="0"/>
            </w:tcBorders>
            <w:vAlign w:val="center"/>
          </w:tcPr>
          <w:p w14:paraId="057CE196">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告</w:t>
            </w:r>
          </w:p>
          <w:p w14:paraId="47C96B5C">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知</w:t>
            </w:r>
          </w:p>
          <w:p w14:paraId="3A306A0C">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内</w:t>
            </w:r>
          </w:p>
          <w:p w14:paraId="2FC313AB">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容</w:t>
            </w:r>
          </w:p>
        </w:tc>
        <w:tc>
          <w:tcPr>
            <w:tcW w:w="8016" w:type="dxa"/>
            <w:gridSpan w:val="12"/>
            <w:tcBorders>
              <w:top w:val="single" w:color="auto" w:sz="4" w:space="0"/>
              <w:left w:val="single" w:color="auto" w:sz="4" w:space="0"/>
              <w:right w:val="single" w:color="auto" w:sz="4" w:space="0"/>
            </w:tcBorders>
            <w:vAlign w:val="center"/>
          </w:tcPr>
          <w:p w14:paraId="21AFE2F8">
            <w:pPr>
              <w:spacing w:line="400" w:lineRule="exact"/>
              <w:rPr>
                <w:rFonts w:ascii="宋体" w:hAnsi="宋体" w:cs="宋体"/>
                <w:color w:val="auto"/>
                <w:kern w:val="0"/>
                <w:sz w:val="21"/>
                <w:szCs w:val="21"/>
              </w:rPr>
            </w:pPr>
            <w:r>
              <w:rPr>
                <w:rFonts w:hint="eastAsia" w:ascii="宋体" w:hAnsi="宋体" w:cs="宋体"/>
                <w:color w:val="auto"/>
                <w:kern w:val="0"/>
                <w:sz w:val="21"/>
                <w:szCs w:val="21"/>
              </w:rPr>
              <w:t>1.参保人员在省外参加职工或居民基本养老保险的，请及时办理衔接转移手续。</w:t>
            </w:r>
          </w:p>
          <w:p w14:paraId="4365B0DF">
            <w:pPr>
              <w:spacing w:line="400" w:lineRule="exact"/>
              <w:rPr>
                <w:rFonts w:ascii="宋体" w:hAnsi="宋体" w:cs="宋体"/>
                <w:color w:val="auto"/>
                <w:kern w:val="0"/>
                <w:sz w:val="21"/>
                <w:szCs w:val="21"/>
              </w:rPr>
            </w:pPr>
            <w:r>
              <w:rPr>
                <w:rFonts w:hint="eastAsia" w:ascii="宋体" w:hAnsi="宋体" w:cs="宋体"/>
                <w:color w:val="auto"/>
                <w:kern w:val="0"/>
                <w:sz w:val="21"/>
                <w:szCs w:val="21"/>
              </w:rPr>
              <w:t>2.达到待遇享受年龄但缴费年限不足15年的参保人，可以在达到待遇享受年龄前6个月内办理补缴。</w:t>
            </w:r>
          </w:p>
          <w:p w14:paraId="005A20E8">
            <w:pPr>
              <w:spacing w:line="400" w:lineRule="exact"/>
              <w:rPr>
                <w:rFonts w:ascii="宋体" w:hAnsi="宋体" w:cs="宋体"/>
                <w:color w:val="auto"/>
                <w:kern w:val="0"/>
                <w:sz w:val="21"/>
                <w:szCs w:val="21"/>
              </w:rPr>
            </w:pPr>
            <w:r>
              <w:rPr>
                <w:rFonts w:hint="eastAsia" w:ascii="宋体" w:hAnsi="宋体" w:cs="宋体"/>
                <w:color w:val="auto"/>
                <w:kern w:val="0"/>
                <w:sz w:val="21"/>
                <w:szCs w:val="21"/>
              </w:rPr>
              <w:t>3.待遇享受人员出现死亡、丧失国籍、享受其他社会养老保障待遇等停止享受居民养老保险待遇的情形，待遇享受人员或其亲属应当自相关情形发生之日起20个工作日内自行或通过村（居）协办员告知社保机构。</w:t>
            </w:r>
          </w:p>
          <w:p w14:paraId="14AB6365">
            <w:pPr>
              <w:spacing w:line="400" w:lineRule="exact"/>
              <w:rPr>
                <w:rFonts w:ascii="宋体" w:hAnsi="宋体" w:cs="宋体"/>
                <w:color w:val="auto"/>
                <w:kern w:val="0"/>
                <w:sz w:val="21"/>
                <w:szCs w:val="21"/>
              </w:rPr>
            </w:pPr>
            <w:r>
              <w:rPr>
                <w:rFonts w:hint="eastAsia" w:ascii="宋体" w:hAnsi="宋体" w:cs="宋体"/>
                <w:color w:val="auto"/>
                <w:kern w:val="0"/>
                <w:sz w:val="21"/>
                <w:szCs w:val="21"/>
              </w:rPr>
              <w:t>4.个人多享受居民养老保险待遇的，待遇享受人员或相关人员应当及时退回，拒不退回的，社保机构可委托金融机构从领取待遇银行账户中予以抵扣。</w:t>
            </w:r>
          </w:p>
          <w:p w14:paraId="164C74B4">
            <w:pPr>
              <w:spacing w:line="400" w:lineRule="exact"/>
              <w:rPr>
                <w:rFonts w:ascii="宋体" w:hAnsi="宋体" w:cs="宋体"/>
                <w:color w:val="auto"/>
                <w:kern w:val="0"/>
                <w:sz w:val="21"/>
                <w:szCs w:val="21"/>
              </w:rPr>
            </w:pPr>
            <w:r>
              <w:rPr>
                <w:rFonts w:hint="eastAsia" w:ascii="宋体" w:hAnsi="宋体" w:cs="宋体"/>
                <w:color w:val="auto"/>
                <w:kern w:val="0"/>
                <w:sz w:val="21"/>
                <w:szCs w:val="21"/>
              </w:rPr>
              <w:t>5.待遇享受人员自待遇享受当月起纳入认证管理，参保人应当积极配合社保机构开展待遇享受资格认证，确保待遇按时足额发放。</w:t>
            </w:r>
          </w:p>
          <w:p w14:paraId="49BBCCCE">
            <w:pPr>
              <w:spacing w:line="40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请您接到通知后，于      年     月    日前（节假日提前）凭有效身份证件，通过人力资源社会保障部门提供的线上或线下服务渠道办理待遇申领等</w:t>
            </w:r>
            <w:r>
              <w:rPr>
                <w:rFonts w:hint="eastAsia" w:ascii="宋体" w:hAnsi="宋体" w:cs="宋体"/>
                <w:color w:val="auto"/>
                <w:kern w:val="0"/>
                <w:sz w:val="21"/>
                <w:szCs w:val="21"/>
                <w:lang w:eastAsia="zh-CN"/>
              </w:rPr>
              <w:t>相关</w:t>
            </w:r>
            <w:r>
              <w:rPr>
                <w:rFonts w:hint="eastAsia" w:ascii="宋体" w:hAnsi="宋体" w:cs="宋体"/>
                <w:color w:val="auto"/>
                <w:kern w:val="0"/>
                <w:sz w:val="21"/>
                <w:szCs w:val="21"/>
              </w:rPr>
              <w:t>手续。</w:t>
            </w:r>
          </w:p>
        </w:tc>
      </w:tr>
      <w:tr w14:paraId="5E5043EA">
        <w:tblPrEx>
          <w:tblCellMar>
            <w:top w:w="0" w:type="dxa"/>
            <w:left w:w="108" w:type="dxa"/>
            <w:bottom w:w="0" w:type="dxa"/>
            <w:right w:w="108" w:type="dxa"/>
          </w:tblCellMar>
        </w:tblPrEx>
        <w:trPr>
          <w:trHeight w:val="1824" w:hRule="atLeast"/>
        </w:trPr>
        <w:tc>
          <w:tcPr>
            <w:tcW w:w="673" w:type="dxa"/>
            <w:tcBorders>
              <w:top w:val="nil"/>
              <w:left w:val="single" w:color="auto" w:sz="4" w:space="0"/>
              <w:bottom w:val="single" w:color="auto" w:sz="4" w:space="0"/>
              <w:right w:val="single" w:color="auto" w:sz="4" w:space="0"/>
            </w:tcBorders>
            <w:vAlign w:val="center"/>
          </w:tcPr>
          <w:p w14:paraId="62DB8976">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申</w:t>
            </w:r>
          </w:p>
          <w:p w14:paraId="7DDF5E57">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请</w:t>
            </w:r>
          </w:p>
          <w:p w14:paraId="537CED91">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人</w:t>
            </w:r>
          </w:p>
        </w:tc>
        <w:tc>
          <w:tcPr>
            <w:tcW w:w="8016" w:type="dxa"/>
            <w:gridSpan w:val="12"/>
            <w:tcBorders>
              <w:top w:val="single" w:color="auto" w:sz="4" w:space="0"/>
              <w:left w:val="nil"/>
              <w:bottom w:val="single" w:color="auto" w:sz="4" w:space="0"/>
              <w:right w:val="single" w:color="000000" w:sz="4" w:space="0"/>
            </w:tcBorders>
            <w:vAlign w:val="center"/>
          </w:tcPr>
          <w:p w14:paraId="1F522D32">
            <w:pPr>
              <w:spacing w:line="440" w:lineRule="exact"/>
              <w:rPr>
                <w:rFonts w:hint="eastAsia" w:ascii="宋体" w:hAnsi="宋体" w:cs="宋体"/>
                <w:color w:val="auto"/>
                <w:kern w:val="0"/>
                <w:sz w:val="21"/>
                <w:szCs w:val="21"/>
              </w:rPr>
            </w:pPr>
            <w:r>
              <w:rPr>
                <w:rFonts w:hint="eastAsia" w:ascii="宋体" w:hAnsi="宋体" w:cs="宋体"/>
                <w:color w:val="auto"/>
                <w:kern w:val="0"/>
                <w:sz w:val="21"/>
                <w:szCs w:val="21"/>
              </w:rPr>
              <w:t xml:space="preserve">     我已知晓并同意上述告知内容，现申请享受居民基本养老保险待遇。</w:t>
            </w:r>
          </w:p>
          <w:p w14:paraId="672CACDC">
            <w:pPr>
              <w:pStyle w:val="2"/>
              <w:rPr>
                <w:color w:val="auto"/>
                <w:sz w:val="21"/>
                <w:szCs w:val="21"/>
              </w:rPr>
            </w:pPr>
          </w:p>
          <w:p w14:paraId="0998133F">
            <w:pPr>
              <w:spacing w:line="440" w:lineRule="exact"/>
              <w:rPr>
                <w:rFonts w:ascii="宋体" w:hAnsi="宋体" w:cs="宋体"/>
                <w:color w:val="auto"/>
                <w:kern w:val="0"/>
                <w:sz w:val="21"/>
                <w:szCs w:val="21"/>
              </w:rPr>
            </w:pPr>
            <w:r>
              <w:rPr>
                <w:rFonts w:hint="eastAsia" w:ascii="宋体" w:hAnsi="宋体" w:cs="宋体"/>
                <w:color w:val="auto"/>
                <w:kern w:val="0"/>
                <w:sz w:val="21"/>
                <w:szCs w:val="21"/>
              </w:rPr>
              <w:t xml:space="preserve">参保人（签名）:          代办人（签名）：        </w:t>
            </w:r>
            <w:r>
              <w:rPr>
                <w:rFonts w:ascii="宋体" w:hAnsi="宋体" w:cs="宋体"/>
                <w:color w:val="auto"/>
                <w:kern w:val="0"/>
                <w:sz w:val="21"/>
                <w:szCs w:val="21"/>
              </w:rPr>
              <w:t xml:space="preserve">   </w:t>
            </w:r>
            <w:r>
              <w:rPr>
                <w:rFonts w:hint="eastAsia" w:ascii="宋体" w:hAnsi="宋体" w:cs="宋体"/>
                <w:color w:val="auto"/>
                <w:kern w:val="0"/>
                <w:sz w:val="21"/>
                <w:szCs w:val="21"/>
              </w:rPr>
              <w:t>年     月    日</w:t>
            </w:r>
          </w:p>
        </w:tc>
      </w:tr>
      <w:tr w14:paraId="519CEF99">
        <w:tblPrEx>
          <w:tblCellMar>
            <w:top w:w="0" w:type="dxa"/>
            <w:left w:w="108" w:type="dxa"/>
            <w:bottom w:w="0" w:type="dxa"/>
            <w:right w:w="108" w:type="dxa"/>
          </w:tblCellMar>
        </w:tblPrEx>
        <w:trPr>
          <w:trHeight w:val="672" w:hRule="atLeast"/>
        </w:trPr>
        <w:tc>
          <w:tcPr>
            <w:tcW w:w="1225" w:type="dxa"/>
            <w:gridSpan w:val="2"/>
            <w:tcBorders>
              <w:top w:val="nil"/>
              <w:left w:val="single" w:color="auto" w:sz="4" w:space="0"/>
              <w:bottom w:val="single" w:color="auto" w:sz="4" w:space="0"/>
              <w:right w:val="single" w:color="auto" w:sz="4" w:space="0"/>
            </w:tcBorders>
            <w:vAlign w:val="center"/>
          </w:tcPr>
          <w:p w14:paraId="106403F9">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经办机构</w:t>
            </w:r>
          </w:p>
        </w:tc>
        <w:tc>
          <w:tcPr>
            <w:tcW w:w="1668" w:type="dxa"/>
            <w:gridSpan w:val="3"/>
            <w:tcBorders>
              <w:top w:val="single" w:color="auto" w:sz="4" w:space="0"/>
              <w:left w:val="single" w:color="auto" w:sz="4" w:space="0"/>
              <w:bottom w:val="single" w:color="auto" w:sz="4" w:space="0"/>
              <w:right w:val="single" w:color="auto" w:sz="4" w:space="0"/>
            </w:tcBorders>
            <w:vAlign w:val="center"/>
          </w:tcPr>
          <w:p w14:paraId="63B49F12">
            <w:pPr>
              <w:spacing w:line="440" w:lineRule="exact"/>
              <w:jc w:val="center"/>
              <w:rPr>
                <w:rFonts w:ascii="宋体" w:hAnsi="宋体" w:cs="宋体"/>
                <w:color w:val="auto"/>
                <w:kern w:val="0"/>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EE6EE72">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693C818">
            <w:pPr>
              <w:spacing w:line="440" w:lineRule="exact"/>
              <w:jc w:val="center"/>
              <w:rPr>
                <w:rFonts w:ascii="宋体" w:hAnsi="宋体" w:cs="宋体"/>
                <w:color w:val="auto"/>
                <w:kern w:val="0"/>
                <w:sz w:val="21"/>
                <w:szCs w:val="21"/>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14:paraId="12E9B530">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地址</w:t>
            </w:r>
          </w:p>
        </w:tc>
        <w:tc>
          <w:tcPr>
            <w:tcW w:w="1932" w:type="dxa"/>
            <w:gridSpan w:val="3"/>
            <w:tcBorders>
              <w:top w:val="single" w:color="auto" w:sz="4" w:space="0"/>
              <w:left w:val="single" w:color="auto" w:sz="4" w:space="0"/>
              <w:bottom w:val="single" w:color="auto" w:sz="4" w:space="0"/>
              <w:right w:val="single" w:color="000000" w:sz="4" w:space="0"/>
            </w:tcBorders>
            <w:vAlign w:val="center"/>
          </w:tcPr>
          <w:p w14:paraId="26D40801">
            <w:pPr>
              <w:spacing w:line="440" w:lineRule="exact"/>
              <w:jc w:val="center"/>
              <w:rPr>
                <w:rFonts w:ascii="宋体" w:hAnsi="宋体" w:cs="宋体"/>
                <w:color w:val="auto"/>
                <w:kern w:val="0"/>
                <w:sz w:val="21"/>
                <w:szCs w:val="21"/>
              </w:rPr>
            </w:pPr>
          </w:p>
        </w:tc>
      </w:tr>
      <w:tr w14:paraId="0EF946EB">
        <w:tblPrEx>
          <w:tblCellMar>
            <w:top w:w="0" w:type="dxa"/>
            <w:left w:w="108" w:type="dxa"/>
            <w:bottom w:w="0" w:type="dxa"/>
            <w:right w:w="108" w:type="dxa"/>
          </w:tblCellMar>
        </w:tblPrEx>
        <w:trPr>
          <w:trHeight w:val="490" w:hRule="atLeast"/>
        </w:trPr>
        <w:tc>
          <w:tcPr>
            <w:tcW w:w="8689" w:type="dxa"/>
            <w:gridSpan w:val="13"/>
            <w:tcBorders>
              <w:top w:val="nil"/>
              <w:left w:val="nil"/>
              <w:bottom w:val="nil"/>
              <w:right w:val="nil"/>
            </w:tcBorders>
            <w:vAlign w:val="center"/>
          </w:tcPr>
          <w:p w14:paraId="783A5457">
            <w:pPr>
              <w:widowControl/>
              <w:jc w:val="left"/>
              <w:textAlignment w:val="center"/>
              <w:rPr>
                <w:rFonts w:ascii="宋体" w:hAnsi="宋体" w:cs="宋体"/>
                <w:color w:val="auto"/>
                <w:kern w:val="0"/>
                <w:sz w:val="21"/>
                <w:szCs w:val="21"/>
              </w:rPr>
            </w:pPr>
            <w:r>
              <w:rPr>
                <w:rFonts w:hint="eastAsia" w:ascii="宋体" w:hAnsi="宋体" w:cs="宋体"/>
                <w:b/>
                <w:bCs/>
                <w:color w:val="auto"/>
                <w:kern w:val="0"/>
                <w:sz w:val="21"/>
                <w:szCs w:val="21"/>
              </w:rPr>
              <w:t>注：</w:t>
            </w:r>
            <w:r>
              <w:rPr>
                <w:rFonts w:hint="eastAsia" w:ascii="宋体" w:hAnsi="宋体" w:cs="宋体"/>
                <w:color w:val="auto"/>
                <w:kern w:val="0"/>
                <w:sz w:val="21"/>
                <w:szCs w:val="21"/>
              </w:rPr>
              <w:t>1.本表由社保机构向参保人员发放。</w:t>
            </w:r>
          </w:p>
          <w:p w14:paraId="754BE685">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2.办理待遇享受手续时，参保人员应当在此表签字确认。</w:t>
            </w:r>
          </w:p>
        </w:tc>
      </w:tr>
    </w:tbl>
    <w:p w14:paraId="708FFF4A">
      <w:pPr>
        <w:tabs>
          <w:tab w:val="left" w:pos="361"/>
        </w:tabs>
        <w:jc w:val="left"/>
        <w:rPr>
          <w:color w:val="auto"/>
        </w:r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p w14:paraId="7D632AC2">
      <w:pPr>
        <w:tabs>
          <w:tab w:val="left" w:pos="361"/>
        </w:tabs>
        <w:jc w:val="left"/>
        <w:rPr>
          <w:rFonts w:ascii="黑体" w:hAnsi="黑体" w:eastAsia="黑体" w:cs="黑体"/>
          <w:color w:val="auto"/>
          <w:sz w:val="32"/>
          <w:szCs w:val="32"/>
        </w:rPr>
      </w:pPr>
      <w:r>
        <w:rPr>
          <w:rFonts w:hint="eastAsia" w:ascii="黑体" w:hAnsi="黑体" w:eastAsia="黑体" w:cs="黑体"/>
          <w:color w:val="auto"/>
          <w:kern w:val="0"/>
          <w:sz w:val="32"/>
          <w:szCs w:val="32"/>
        </w:rPr>
        <w:t>附件8</w:t>
      </w:r>
    </w:p>
    <w:p w14:paraId="26F65B09">
      <w:pPr>
        <w:widowControl/>
        <w:jc w:val="center"/>
        <w:textAlignment w:val="center"/>
        <w:rPr>
          <w:color w:val="auto"/>
        </w:rPr>
      </w:pPr>
      <w:r>
        <w:rPr>
          <w:rFonts w:hint="eastAsia" w:ascii="方正小标宋简体" w:hAnsi="方正小标宋简体" w:eastAsia="方正小标宋简体" w:cs="方正小标宋简体"/>
          <w:color w:val="auto"/>
          <w:kern w:val="0"/>
          <w:sz w:val="44"/>
          <w:szCs w:val="44"/>
        </w:rPr>
        <w:t>居民基本养老保险待遇核定表</w:t>
      </w:r>
    </w:p>
    <w:tbl>
      <w:tblPr>
        <w:tblStyle w:val="8"/>
        <w:tblW w:w="14316" w:type="dxa"/>
        <w:tblInd w:w="0" w:type="dxa"/>
        <w:tblLayout w:type="fixed"/>
        <w:tblCellMar>
          <w:top w:w="0" w:type="dxa"/>
          <w:left w:w="108" w:type="dxa"/>
          <w:bottom w:w="0" w:type="dxa"/>
          <w:right w:w="108" w:type="dxa"/>
        </w:tblCellMar>
      </w:tblPr>
      <w:tblGrid>
        <w:gridCol w:w="1404"/>
        <w:gridCol w:w="1163"/>
        <w:gridCol w:w="2070"/>
        <w:gridCol w:w="1496"/>
        <w:gridCol w:w="1812"/>
        <w:gridCol w:w="1236"/>
        <w:gridCol w:w="1416"/>
        <w:gridCol w:w="1260"/>
        <w:gridCol w:w="816"/>
        <w:gridCol w:w="1643"/>
      </w:tblGrid>
      <w:tr w14:paraId="473E3290">
        <w:tblPrEx>
          <w:tblCellMar>
            <w:top w:w="0" w:type="dxa"/>
            <w:left w:w="108" w:type="dxa"/>
            <w:bottom w:w="0" w:type="dxa"/>
            <w:right w:w="108" w:type="dxa"/>
          </w:tblCellMar>
        </w:tblPrEx>
        <w:trPr>
          <w:trHeight w:val="691" w:hRule="atLeast"/>
        </w:trPr>
        <w:tc>
          <w:tcPr>
            <w:tcW w:w="14316" w:type="dxa"/>
            <w:gridSpan w:val="10"/>
            <w:tcBorders>
              <w:top w:val="nil"/>
              <w:left w:val="nil"/>
              <w:bottom w:val="nil"/>
              <w:right w:val="nil"/>
            </w:tcBorders>
            <w:shd w:val="clear" w:color="auto" w:fill="auto"/>
            <w:vAlign w:val="center"/>
          </w:tcPr>
          <w:p w14:paraId="05F8F6B1">
            <w:pPr>
              <w:spacing w:line="400" w:lineRule="exact"/>
              <w:rPr>
                <w:rFonts w:ascii="宋体" w:hAnsi="宋体" w:cs="宋体"/>
                <w:color w:val="auto"/>
                <w:kern w:val="0"/>
                <w:sz w:val="21"/>
                <w:szCs w:val="21"/>
              </w:rPr>
            </w:pPr>
            <w:r>
              <w:rPr>
                <w:rFonts w:hint="eastAsia" w:ascii="宋体" w:hAnsi="宋体" w:cs="宋体"/>
                <w:color w:val="auto"/>
                <w:kern w:val="0"/>
                <w:sz w:val="21"/>
                <w:szCs w:val="21"/>
              </w:rPr>
              <w:t xml:space="preserve">填报单位（县、区）：                           </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 xml:space="preserve">                   单位：元              </w:t>
            </w:r>
            <w:r>
              <w:rPr>
                <w:rFonts w:hint="eastAsia" w:ascii="宋体" w:hAnsi="宋体" w:cs="宋体"/>
                <w:color w:val="auto"/>
                <w:kern w:val="0"/>
                <w:sz w:val="21"/>
                <w:szCs w:val="21"/>
                <w:lang w:eastAsia="zh-CN"/>
              </w:rPr>
              <w:t>填表</w:t>
            </w:r>
            <w:r>
              <w:rPr>
                <w:rFonts w:hint="eastAsia" w:ascii="宋体" w:hAnsi="宋体" w:cs="宋体"/>
                <w:color w:val="auto"/>
                <w:kern w:val="0"/>
                <w:sz w:val="21"/>
                <w:szCs w:val="21"/>
              </w:rPr>
              <w:t>日期：     年    月    日</w:t>
            </w:r>
          </w:p>
        </w:tc>
      </w:tr>
      <w:tr w14:paraId="7DC81779">
        <w:tblPrEx>
          <w:tblCellMar>
            <w:top w:w="0" w:type="dxa"/>
            <w:left w:w="108" w:type="dxa"/>
            <w:bottom w:w="0" w:type="dxa"/>
            <w:right w:w="108" w:type="dxa"/>
          </w:tblCellMar>
        </w:tblPrEx>
        <w:trPr>
          <w:trHeight w:val="784"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908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参保人</w:t>
            </w:r>
          </w:p>
        </w:tc>
        <w:tc>
          <w:tcPr>
            <w:tcW w:w="1163" w:type="dxa"/>
            <w:tcBorders>
              <w:top w:val="single" w:color="000000" w:sz="4" w:space="0"/>
              <w:left w:val="single" w:color="000000" w:sz="4" w:space="0"/>
              <w:bottom w:val="single" w:color="000000" w:sz="4" w:space="0"/>
              <w:right w:val="single" w:color="auto" w:sz="4" w:space="0"/>
            </w:tcBorders>
            <w:shd w:val="clear" w:color="auto" w:fill="auto"/>
            <w:vAlign w:val="center"/>
          </w:tcPr>
          <w:p w14:paraId="4B6B57D1">
            <w:pPr>
              <w:spacing w:line="400" w:lineRule="exact"/>
              <w:rPr>
                <w:rFonts w:ascii="宋体" w:hAnsi="宋体" w:cs="宋体"/>
                <w:color w:val="auto"/>
                <w:kern w:val="0"/>
                <w:sz w:val="21"/>
                <w:szCs w:val="21"/>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C55C4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性   别</w:t>
            </w:r>
          </w:p>
        </w:tc>
        <w:tc>
          <w:tcPr>
            <w:tcW w:w="1496"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3B0BC">
            <w:pPr>
              <w:spacing w:line="400" w:lineRule="exact"/>
              <w:rPr>
                <w:rFonts w:ascii="宋体" w:hAnsi="宋体" w:cs="宋体"/>
                <w:color w:val="auto"/>
                <w:kern w:val="0"/>
                <w:sz w:val="21"/>
                <w:szCs w:val="21"/>
              </w:rPr>
            </w:pPr>
          </w:p>
        </w:tc>
        <w:tc>
          <w:tcPr>
            <w:tcW w:w="1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5C6F43C4">
            <w:pPr>
              <w:spacing w:line="400" w:lineRule="exact"/>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6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C0F54">
            <w:pPr>
              <w:spacing w:line="400" w:lineRule="exact"/>
              <w:rPr>
                <w:rFonts w:ascii="宋体" w:hAnsi="宋体" w:cs="宋体"/>
                <w:color w:val="auto"/>
                <w:kern w:val="0"/>
                <w:sz w:val="21"/>
                <w:szCs w:val="21"/>
              </w:rPr>
            </w:pPr>
          </w:p>
        </w:tc>
      </w:tr>
      <w:tr w14:paraId="181285BE">
        <w:tblPrEx>
          <w:tblCellMar>
            <w:top w:w="0" w:type="dxa"/>
            <w:left w:w="108" w:type="dxa"/>
            <w:bottom w:w="0" w:type="dxa"/>
            <w:right w:w="108" w:type="dxa"/>
          </w:tblCellMar>
        </w:tblPrEx>
        <w:trPr>
          <w:trHeight w:val="892" w:hRule="atLeast"/>
        </w:trPr>
        <w:tc>
          <w:tcPr>
            <w:tcW w:w="1404" w:type="dxa"/>
            <w:tcBorders>
              <w:top w:val="single" w:color="000000" w:sz="4" w:space="0"/>
              <w:left w:val="single" w:color="000000" w:sz="4" w:space="0"/>
              <w:bottom w:val="nil"/>
              <w:right w:val="single" w:color="000000" w:sz="4" w:space="0"/>
            </w:tcBorders>
            <w:shd w:val="clear" w:color="auto" w:fill="auto"/>
            <w:vAlign w:val="center"/>
          </w:tcPr>
          <w:p w14:paraId="72549528">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1163" w:type="dxa"/>
            <w:tcBorders>
              <w:top w:val="single" w:color="000000" w:sz="4" w:space="0"/>
              <w:left w:val="single" w:color="000000" w:sz="4" w:space="0"/>
              <w:bottom w:val="nil"/>
              <w:right w:val="single" w:color="auto" w:sz="4" w:space="0"/>
            </w:tcBorders>
            <w:shd w:val="clear" w:color="auto" w:fill="auto"/>
            <w:vAlign w:val="center"/>
          </w:tcPr>
          <w:p w14:paraId="755FDE29">
            <w:pPr>
              <w:spacing w:line="400" w:lineRule="exact"/>
              <w:jc w:val="center"/>
              <w:rPr>
                <w:rFonts w:ascii="宋体" w:hAnsi="宋体" w:cs="宋体"/>
                <w:color w:val="auto"/>
                <w:kern w:val="0"/>
                <w:sz w:val="21"/>
                <w:szCs w:val="21"/>
              </w:rPr>
            </w:pPr>
          </w:p>
        </w:tc>
        <w:tc>
          <w:tcPr>
            <w:tcW w:w="2070" w:type="dxa"/>
            <w:tcBorders>
              <w:top w:val="single" w:color="000000" w:sz="4" w:space="0"/>
              <w:left w:val="single" w:color="auto" w:sz="4" w:space="0"/>
              <w:bottom w:val="nil"/>
              <w:right w:val="single" w:color="000000" w:sz="4" w:space="0"/>
            </w:tcBorders>
            <w:shd w:val="clear" w:color="auto" w:fill="auto"/>
            <w:vAlign w:val="center"/>
          </w:tcPr>
          <w:p w14:paraId="0E24C9D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实际缴费年限</w:t>
            </w:r>
          </w:p>
        </w:tc>
        <w:tc>
          <w:tcPr>
            <w:tcW w:w="1496" w:type="dxa"/>
            <w:tcBorders>
              <w:top w:val="single" w:color="000000" w:sz="4" w:space="0"/>
              <w:left w:val="single" w:color="000000" w:sz="4" w:space="0"/>
              <w:bottom w:val="nil"/>
              <w:right w:val="single" w:color="auto" w:sz="4" w:space="0"/>
            </w:tcBorders>
            <w:shd w:val="clear" w:color="auto" w:fill="auto"/>
            <w:vAlign w:val="center"/>
          </w:tcPr>
          <w:p w14:paraId="3C1D6C98">
            <w:pPr>
              <w:spacing w:line="400" w:lineRule="exact"/>
              <w:jc w:val="center"/>
              <w:rPr>
                <w:rFonts w:ascii="宋体" w:hAnsi="宋体" w:cs="宋体"/>
                <w:color w:val="auto"/>
                <w:kern w:val="0"/>
                <w:sz w:val="21"/>
                <w:szCs w:val="21"/>
              </w:rPr>
            </w:pPr>
          </w:p>
        </w:tc>
        <w:tc>
          <w:tcPr>
            <w:tcW w:w="1812" w:type="dxa"/>
            <w:tcBorders>
              <w:top w:val="single" w:color="000000" w:sz="4" w:space="0"/>
              <w:left w:val="single" w:color="auto" w:sz="4" w:space="0"/>
              <w:bottom w:val="nil"/>
              <w:right w:val="single" w:color="auto" w:sz="4" w:space="0"/>
            </w:tcBorders>
            <w:shd w:val="clear" w:color="auto" w:fill="auto"/>
            <w:vAlign w:val="center"/>
          </w:tcPr>
          <w:p w14:paraId="4328CA0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补缴年限</w:t>
            </w:r>
          </w:p>
        </w:tc>
        <w:tc>
          <w:tcPr>
            <w:tcW w:w="2652" w:type="dxa"/>
            <w:gridSpan w:val="2"/>
            <w:tcBorders>
              <w:top w:val="single" w:color="000000" w:sz="4" w:space="0"/>
              <w:left w:val="single" w:color="auto" w:sz="4" w:space="0"/>
              <w:bottom w:val="nil"/>
              <w:right w:val="single" w:color="000000" w:sz="4" w:space="0"/>
            </w:tcBorders>
            <w:shd w:val="clear" w:color="auto" w:fill="auto"/>
            <w:vAlign w:val="center"/>
          </w:tcPr>
          <w:p w14:paraId="650D5686">
            <w:pPr>
              <w:spacing w:line="400" w:lineRule="exact"/>
              <w:jc w:val="center"/>
              <w:rPr>
                <w:rFonts w:ascii="宋体" w:hAnsi="宋体" w:cs="宋体"/>
                <w:color w:val="auto"/>
                <w:kern w:val="0"/>
                <w:sz w:val="21"/>
                <w:szCs w:val="21"/>
              </w:rPr>
            </w:pP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F78393E">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参保时间</w:t>
            </w:r>
          </w:p>
        </w:tc>
        <w:tc>
          <w:tcPr>
            <w:tcW w:w="2459" w:type="dxa"/>
            <w:gridSpan w:val="2"/>
            <w:tcBorders>
              <w:top w:val="single" w:color="000000" w:sz="4" w:space="0"/>
              <w:left w:val="single" w:color="000000" w:sz="4" w:space="0"/>
              <w:bottom w:val="nil"/>
              <w:right w:val="single" w:color="000000" w:sz="4" w:space="0"/>
            </w:tcBorders>
            <w:shd w:val="clear" w:color="auto" w:fill="auto"/>
            <w:vAlign w:val="center"/>
          </w:tcPr>
          <w:p w14:paraId="47BF4292">
            <w:pPr>
              <w:spacing w:line="400" w:lineRule="exact"/>
              <w:jc w:val="center"/>
              <w:rPr>
                <w:rFonts w:ascii="宋体" w:hAnsi="宋体" w:cs="宋体"/>
                <w:color w:val="auto"/>
                <w:kern w:val="0"/>
                <w:sz w:val="21"/>
                <w:szCs w:val="21"/>
              </w:rPr>
            </w:pPr>
          </w:p>
        </w:tc>
      </w:tr>
      <w:tr w14:paraId="13C1853A">
        <w:tblPrEx>
          <w:tblCellMar>
            <w:top w:w="0" w:type="dxa"/>
            <w:left w:w="108" w:type="dxa"/>
            <w:bottom w:w="0" w:type="dxa"/>
            <w:right w:w="108" w:type="dxa"/>
          </w:tblCellMar>
        </w:tblPrEx>
        <w:trPr>
          <w:trHeight w:val="100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AD5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个人账户</w:t>
            </w:r>
          </w:p>
          <w:p w14:paraId="7B31513D">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储存额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863F">
            <w:pPr>
              <w:spacing w:line="400" w:lineRule="exact"/>
              <w:jc w:val="center"/>
              <w:rPr>
                <w:rFonts w:ascii="宋体" w:hAnsi="宋体" w:cs="宋体"/>
                <w:color w:val="auto"/>
                <w:kern w:val="0"/>
                <w:sz w:val="21"/>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9A47">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个人缴费总额</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6A57">
            <w:pPr>
              <w:spacing w:line="400" w:lineRule="exact"/>
              <w:jc w:val="center"/>
              <w:rPr>
                <w:rFonts w:ascii="宋体" w:hAnsi="宋体" w:cs="宋体"/>
                <w:color w:val="auto"/>
                <w:kern w:val="0"/>
                <w:sz w:val="21"/>
                <w:szCs w:val="21"/>
              </w:rPr>
            </w:pPr>
          </w:p>
        </w:tc>
        <w:tc>
          <w:tcPr>
            <w:tcW w:w="1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534EEAF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补助（资助）</w:t>
            </w:r>
          </w:p>
          <w:p w14:paraId="1FF61D4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总额</w:t>
            </w:r>
          </w:p>
        </w:tc>
        <w:tc>
          <w:tcPr>
            <w:tcW w:w="1236" w:type="dxa"/>
            <w:tcBorders>
              <w:top w:val="single" w:color="000000" w:sz="4" w:space="0"/>
              <w:left w:val="single" w:color="auto" w:sz="4" w:space="0"/>
              <w:bottom w:val="single" w:color="000000" w:sz="4" w:space="0"/>
              <w:right w:val="single" w:color="000000" w:sz="4" w:space="0"/>
            </w:tcBorders>
            <w:shd w:val="clear" w:color="auto" w:fill="auto"/>
            <w:vAlign w:val="center"/>
          </w:tcPr>
          <w:p w14:paraId="1FA05A2D">
            <w:pPr>
              <w:spacing w:line="400" w:lineRule="exact"/>
              <w:jc w:val="center"/>
              <w:rPr>
                <w:rFonts w:ascii="宋体" w:hAnsi="宋体" w:cs="宋体"/>
                <w:color w:val="auto"/>
                <w:kern w:val="0"/>
                <w:sz w:val="21"/>
                <w:szCs w:val="21"/>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ECE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政府补贴</w:t>
            </w:r>
          </w:p>
          <w:p w14:paraId="6D5BDA5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441">
            <w:pPr>
              <w:spacing w:line="400" w:lineRule="exact"/>
              <w:jc w:val="center"/>
              <w:rPr>
                <w:rFonts w:ascii="宋体" w:hAnsi="宋体" w:cs="宋体"/>
                <w:color w:val="auto"/>
                <w:kern w:val="0"/>
                <w:sz w:val="21"/>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196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利息总额</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079">
            <w:pPr>
              <w:spacing w:line="400" w:lineRule="exact"/>
              <w:jc w:val="center"/>
              <w:rPr>
                <w:rFonts w:ascii="宋体" w:hAnsi="宋体" w:cs="宋体"/>
                <w:color w:val="auto"/>
                <w:kern w:val="0"/>
                <w:sz w:val="21"/>
                <w:szCs w:val="21"/>
              </w:rPr>
            </w:pPr>
          </w:p>
        </w:tc>
      </w:tr>
      <w:tr w14:paraId="38103EB3">
        <w:tblPrEx>
          <w:tblCellMar>
            <w:top w:w="0" w:type="dxa"/>
            <w:left w:w="108" w:type="dxa"/>
            <w:bottom w:w="0" w:type="dxa"/>
            <w:right w:w="108" w:type="dxa"/>
          </w:tblCellMar>
        </w:tblPrEx>
        <w:trPr>
          <w:trHeight w:val="100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113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待遇享受</w:t>
            </w:r>
          </w:p>
          <w:p w14:paraId="0BD0FAD2">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金额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13DF">
            <w:pPr>
              <w:spacing w:line="400" w:lineRule="exact"/>
              <w:jc w:val="center"/>
              <w:rPr>
                <w:rFonts w:ascii="宋体" w:hAnsi="宋体" w:cs="宋体"/>
                <w:color w:val="auto"/>
                <w:kern w:val="0"/>
                <w:sz w:val="21"/>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0E1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基础养老金</w:t>
            </w:r>
          </w:p>
          <w:p w14:paraId="34EFB9B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享受金额</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AED6">
            <w:pPr>
              <w:spacing w:line="400" w:lineRule="exact"/>
              <w:jc w:val="center"/>
              <w:rPr>
                <w:rFonts w:ascii="宋体" w:hAnsi="宋体" w:cs="宋体"/>
                <w:color w:val="auto"/>
                <w:kern w:val="0"/>
                <w:sz w:val="21"/>
                <w:szCs w:val="21"/>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80C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个人账户养老金</w:t>
            </w:r>
          </w:p>
          <w:p w14:paraId="652B2BC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享受金额</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AD5">
            <w:pPr>
              <w:spacing w:line="400" w:lineRule="exact"/>
              <w:jc w:val="center"/>
              <w:rPr>
                <w:rFonts w:ascii="宋体" w:hAnsi="宋体" w:cs="宋体"/>
                <w:color w:val="auto"/>
                <w:kern w:val="0"/>
                <w:sz w:val="21"/>
                <w:szCs w:val="21"/>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78D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其他金额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A29D">
            <w:pPr>
              <w:spacing w:line="400" w:lineRule="exact"/>
              <w:jc w:val="center"/>
              <w:rPr>
                <w:rFonts w:ascii="宋体" w:hAnsi="宋体" w:cs="宋体"/>
                <w:color w:val="auto"/>
                <w:kern w:val="0"/>
                <w:sz w:val="21"/>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CF1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启领时间</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429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年  月</w:t>
            </w:r>
          </w:p>
        </w:tc>
      </w:tr>
      <w:tr w14:paraId="789B32C6">
        <w:tblPrEx>
          <w:tblCellMar>
            <w:top w:w="0" w:type="dxa"/>
            <w:left w:w="108" w:type="dxa"/>
            <w:bottom w:w="0" w:type="dxa"/>
            <w:right w:w="108" w:type="dxa"/>
          </w:tblCellMar>
        </w:tblPrEx>
        <w:trPr>
          <w:trHeight w:val="1517" w:hRule="atLeast"/>
        </w:trPr>
        <w:tc>
          <w:tcPr>
            <w:tcW w:w="14316" w:type="dxa"/>
            <w:gridSpan w:val="10"/>
            <w:tcBorders>
              <w:top w:val="nil"/>
              <w:left w:val="single" w:color="000000" w:sz="4" w:space="0"/>
              <w:bottom w:val="single" w:color="000000" w:sz="4" w:space="0"/>
              <w:right w:val="single" w:color="000000" w:sz="4" w:space="0"/>
            </w:tcBorders>
            <w:shd w:val="clear" w:color="auto" w:fill="auto"/>
            <w:vAlign w:val="center"/>
          </w:tcPr>
          <w:p w14:paraId="37014587">
            <w:pPr>
              <w:spacing w:line="400" w:lineRule="exact"/>
              <w:rPr>
                <w:rFonts w:ascii="宋体" w:hAnsi="宋体" w:cs="宋体"/>
                <w:color w:val="auto"/>
                <w:kern w:val="0"/>
                <w:sz w:val="21"/>
                <w:szCs w:val="21"/>
              </w:rPr>
            </w:pPr>
            <w:r>
              <w:rPr>
                <w:rFonts w:hint="eastAsia" w:ascii="宋体" w:hAnsi="宋体" w:cs="宋体"/>
                <w:color w:val="auto"/>
                <w:kern w:val="0"/>
                <w:sz w:val="21"/>
                <w:szCs w:val="21"/>
              </w:rPr>
              <w:t xml:space="preserve">                                                县社保机构审核：                           年     月     日（签章）</w:t>
            </w:r>
          </w:p>
        </w:tc>
      </w:tr>
    </w:tbl>
    <w:p w14:paraId="3636D03C">
      <w:pPr>
        <w:widowControl/>
        <w:jc w:val="left"/>
        <w:textAlignment w:val="center"/>
        <w:rPr>
          <w:color w:val="auto"/>
        </w:rPr>
      </w:pPr>
      <w:r>
        <w:rPr>
          <w:rFonts w:hint="eastAsia" w:asciiTheme="minorEastAsia" w:hAnsiTheme="minorEastAsia" w:cstheme="minorEastAsia"/>
          <w:color w:val="auto"/>
          <w:szCs w:val="21"/>
        </w:rPr>
        <w:br w:type="page"/>
      </w:r>
    </w:p>
    <w:p w14:paraId="0F209E51">
      <w:pPr>
        <w:tabs>
          <w:tab w:val="left" w:pos="361"/>
        </w:tabs>
        <w:jc w:val="left"/>
        <w:rPr>
          <w:rFonts w:ascii="黑体" w:hAnsi="黑体" w:eastAsia="黑体" w:cs="黑体"/>
          <w:color w:val="auto"/>
          <w:sz w:val="32"/>
          <w:szCs w:val="32"/>
        </w:rPr>
      </w:pPr>
      <w:r>
        <w:rPr>
          <w:rFonts w:hint="eastAsia" w:ascii="黑体" w:hAnsi="黑体" w:eastAsia="黑体" w:cs="黑体"/>
          <w:color w:val="auto"/>
          <w:kern w:val="0"/>
          <w:sz w:val="32"/>
          <w:szCs w:val="32"/>
        </w:rPr>
        <w:t>附件9</w:t>
      </w:r>
    </w:p>
    <w:p w14:paraId="39094FD2">
      <w:pPr>
        <w:tabs>
          <w:tab w:val="left" w:pos="361"/>
        </w:tabs>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居民基本养老保险基金支付审批表</w:t>
      </w:r>
    </w:p>
    <w:tbl>
      <w:tblPr>
        <w:tblStyle w:val="8"/>
        <w:tblW w:w="13537" w:type="dxa"/>
        <w:jc w:val="center"/>
        <w:tblLayout w:type="fixed"/>
        <w:tblCellMar>
          <w:top w:w="15" w:type="dxa"/>
          <w:left w:w="15" w:type="dxa"/>
          <w:bottom w:w="15" w:type="dxa"/>
          <w:right w:w="15" w:type="dxa"/>
        </w:tblCellMar>
      </w:tblPr>
      <w:tblGrid>
        <w:gridCol w:w="1069"/>
        <w:gridCol w:w="900"/>
        <w:gridCol w:w="1044"/>
        <w:gridCol w:w="888"/>
        <w:gridCol w:w="1272"/>
        <w:gridCol w:w="1008"/>
        <w:gridCol w:w="984"/>
        <w:gridCol w:w="984"/>
        <w:gridCol w:w="1032"/>
        <w:gridCol w:w="1104"/>
        <w:gridCol w:w="1068"/>
        <w:gridCol w:w="868"/>
        <w:gridCol w:w="1316"/>
      </w:tblGrid>
      <w:tr w14:paraId="568F505C">
        <w:tblPrEx>
          <w:tblCellMar>
            <w:top w:w="15" w:type="dxa"/>
            <w:left w:w="15" w:type="dxa"/>
            <w:bottom w:w="15" w:type="dxa"/>
            <w:right w:w="15" w:type="dxa"/>
          </w:tblCellMar>
        </w:tblPrEx>
        <w:trPr>
          <w:trHeight w:val="336" w:hRule="atLeast"/>
          <w:jc w:val="center"/>
        </w:trPr>
        <w:tc>
          <w:tcPr>
            <w:tcW w:w="13537" w:type="dxa"/>
            <w:gridSpan w:val="13"/>
            <w:tcBorders>
              <w:bottom w:val="single" w:color="000000" w:sz="4" w:space="0"/>
            </w:tcBorders>
            <w:shd w:val="clear" w:color="auto" w:fill="auto"/>
            <w:tcMar>
              <w:top w:w="12" w:type="dxa"/>
              <w:left w:w="12" w:type="dxa"/>
              <w:right w:w="12" w:type="dxa"/>
            </w:tcMar>
            <w:vAlign w:val="bottom"/>
          </w:tcPr>
          <w:p w14:paraId="6F82F3E8">
            <w:pPr>
              <w:widowControl/>
              <w:jc w:val="left"/>
              <w:textAlignment w:val="bottom"/>
              <w:rPr>
                <w:rFonts w:ascii="宋体" w:hAnsi="宋体" w:cs="宋体"/>
                <w:color w:val="auto"/>
                <w:sz w:val="21"/>
                <w:szCs w:val="21"/>
              </w:rPr>
            </w:pPr>
            <w:r>
              <w:rPr>
                <w:rFonts w:hint="eastAsia" w:ascii="宋体" w:hAnsi="宋体" w:cs="宋体"/>
                <w:color w:val="auto"/>
                <w:kern w:val="0"/>
                <w:sz w:val="21"/>
                <w:szCs w:val="21"/>
              </w:rPr>
              <w:t>填报单位（章）：</w:t>
            </w:r>
            <w:r>
              <w:rPr>
                <w:rStyle w:val="12"/>
                <w:color w:val="auto"/>
                <w:sz w:val="21"/>
                <w:szCs w:val="21"/>
              </w:rPr>
              <w:t xml:space="preserve">                 </w:t>
            </w:r>
            <w:r>
              <w:rPr>
                <w:rStyle w:val="12"/>
                <w:rFonts w:hint="eastAsia"/>
                <w:color w:val="auto"/>
                <w:sz w:val="21"/>
                <w:szCs w:val="21"/>
              </w:rPr>
              <w:t xml:space="preserve">                                  </w:t>
            </w:r>
            <w:r>
              <w:rPr>
                <w:rStyle w:val="12"/>
                <w:color w:val="auto"/>
                <w:sz w:val="21"/>
                <w:szCs w:val="21"/>
              </w:rPr>
              <w:t xml:space="preserve">                                      </w:t>
            </w:r>
            <w:r>
              <w:rPr>
                <w:rStyle w:val="13"/>
                <w:rFonts w:hint="default"/>
                <w:color w:val="auto"/>
                <w:sz w:val="21"/>
                <w:szCs w:val="21"/>
              </w:rPr>
              <w:t>单位：人、元</w:t>
            </w:r>
          </w:p>
        </w:tc>
      </w:tr>
      <w:tr w14:paraId="0201DA60">
        <w:tblPrEx>
          <w:tblCellMar>
            <w:top w:w="15" w:type="dxa"/>
            <w:left w:w="15" w:type="dxa"/>
            <w:bottom w:w="15" w:type="dxa"/>
            <w:right w:w="15" w:type="dxa"/>
          </w:tblCellMar>
        </w:tblPrEx>
        <w:trPr>
          <w:trHeight w:val="486" w:hRule="atLeast"/>
          <w:jc w:val="center"/>
        </w:trPr>
        <w:tc>
          <w:tcPr>
            <w:tcW w:w="13537"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DDF38">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财政局：××年××月，居民基本养老保险基金共需支付    元（详见居民基本养老保险基金应支明细），请审核后拨入以下支出账户：</w:t>
            </w:r>
          </w:p>
        </w:tc>
      </w:tr>
      <w:tr w14:paraId="30167557">
        <w:tblPrEx>
          <w:tblCellMar>
            <w:top w:w="15" w:type="dxa"/>
            <w:left w:w="15" w:type="dxa"/>
            <w:bottom w:w="15" w:type="dxa"/>
            <w:right w:w="15" w:type="dxa"/>
          </w:tblCellMar>
        </w:tblPrEx>
        <w:trPr>
          <w:trHeight w:val="373"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DBD42">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开户名称</w:t>
            </w:r>
          </w:p>
        </w:tc>
        <w:tc>
          <w:tcPr>
            <w:tcW w:w="1246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771AC">
            <w:pPr>
              <w:widowControl/>
              <w:jc w:val="center"/>
              <w:textAlignment w:val="center"/>
              <w:rPr>
                <w:rFonts w:ascii="宋体" w:hAnsi="宋体" w:cs="宋体"/>
                <w:color w:val="auto"/>
                <w:kern w:val="0"/>
                <w:sz w:val="21"/>
                <w:szCs w:val="21"/>
              </w:rPr>
            </w:pPr>
          </w:p>
        </w:tc>
      </w:tr>
      <w:tr w14:paraId="7604F672">
        <w:tblPrEx>
          <w:tblCellMar>
            <w:top w:w="15" w:type="dxa"/>
            <w:left w:w="15" w:type="dxa"/>
            <w:bottom w:w="15" w:type="dxa"/>
            <w:right w:w="15" w:type="dxa"/>
          </w:tblCellMar>
        </w:tblPrEx>
        <w:trPr>
          <w:trHeight w:val="325"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595A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银行名称</w:t>
            </w:r>
          </w:p>
        </w:tc>
        <w:tc>
          <w:tcPr>
            <w:tcW w:w="1246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B9313">
            <w:pPr>
              <w:widowControl/>
              <w:jc w:val="center"/>
              <w:textAlignment w:val="center"/>
              <w:rPr>
                <w:rFonts w:ascii="宋体" w:hAnsi="宋体" w:cs="宋体"/>
                <w:color w:val="auto"/>
                <w:kern w:val="0"/>
                <w:sz w:val="21"/>
                <w:szCs w:val="21"/>
              </w:rPr>
            </w:pPr>
          </w:p>
        </w:tc>
      </w:tr>
      <w:tr w14:paraId="6882127E">
        <w:tblPrEx>
          <w:tblCellMar>
            <w:top w:w="15" w:type="dxa"/>
            <w:left w:w="15" w:type="dxa"/>
            <w:bottom w:w="15" w:type="dxa"/>
            <w:right w:w="15" w:type="dxa"/>
          </w:tblCellMar>
        </w:tblPrEx>
        <w:trPr>
          <w:trHeight w:val="197"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6DA0F">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银行账号</w:t>
            </w:r>
          </w:p>
        </w:tc>
        <w:tc>
          <w:tcPr>
            <w:tcW w:w="1246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94020">
            <w:pPr>
              <w:widowControl/>
              <w:jc w:val="center"/>
              <w:textAlignment w:val="center"/>
              <w:rPr>
                <w:rFonts w:ascii="宋体" w:hAnsi="宋体" w:cs="宋体"/>
                <w:color w:val="auto"/>
                <w:kern w:val="0"/>
                <w:sz w:val="21"/>
                <w:szCs w:val="21"/>
              </w:rPr>
            </w:pPr>
          </w:p>
        </w:tc>
      </w:tr>
      <w:tr w14:paraId="46BC3BEA">
        <w:tblPrEx>
          <w:tblCellMar>
            <w:top w:w="15" w:type="dxa"/>
            <w:left w:w="15" w:type="dxa"/>
            <w:bottom w:w="15" w:type="dxa"/>
            <w:right w:w="15" w:type="dxa"/>
          </w:tblCellMar>
        </w:tblPrEx>
        <w:trPr>
          <w:trHeight w:val="238" w:hRule="atLeast"/>
          <w:jc w:val="center"/>
        </w:trPr>
        <w:tc>
          <w:tcPr>
            <w:tcW w:w="13537"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AA6CF">
            <w:pPr>
              <w:widowControl/>
              <w:jc w:val="center"/>
              <w:textAlignment w:val="center"/>
              <w:rPr>
                <w:rFonts w:ascii="宋体" w:hAnsi="宋体" w:cs="宋体"/>
                <w:b/>
                <w:color w:val="auto"/>
                <w:sz w:val="21"/>
                <w:szCs w:val="21"/>
              </w:rPr>
            </w:pPr>
            <w:r>
              <w:rPr>
                <w:rFonts w:hint="eastAsia" w:ascii="宋体" w:hAnsi="宋体" w:cs="宋体"/>
                <w:b/>
                <w:color w:val="auto"/>
                <w:kern w:val="0"/>
                <w:sz w:val="21"/>
                <w:szCs w:val="21"/>
              </w:rPr>
              <w:t>居民基本养老保险基金应支明细</w:t>
            </w:r>
          </w:p>
        </w:tc>
      </w:tr>
      <w:tr w14:paraId="48CE7D3A">
        <w:tblPrEx>
          <w:tblCellMar>
            <w:top w:w="15" w:type="dxa"/>
            <w:left w:w="15" w:type="dxa"/>
            <w:bottom w:w="15" w:type="dxa"/>
            <w:right w:w="15" w:type="dxa"/>
          </w:tblCellMar>
        </w:tblPrEx>
        <w:trPr>
          <w:trHeight w:val="533"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81A4A">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乡镇</w:t>
            </w:r>
          </w:p>
          <w:p w14:paraId="0216FE7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（街道）</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7E124">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w:t>
            </w:r>
          </w:p>
          <w:p w14:paraId="03A7FEAA">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基础养老金支出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51B8C">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w:t>
            </w:r>
          </w:p>
          <w:p w14:paraId="7840C433">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个人账户养老金支出</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0FE27">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一次性领取个人账户资金余额支出</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DF710">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转移支出</w:t>
            </w:r>
          </w:p>
        </w:tc>
        <w:tc>
          <w:tcPr>
            <w:tcW w:w="21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245D9">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丧葬补助金支出</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36700">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人数合计</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70CA5">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金额合计</w:t>
            </w:r>
          </w:p>
        </w:tc>
      </w:tr>
      <w:tr w14:paraId="0D081C0E">
        <w:tblPrEx>
          <w:tblCellMar>
            <w:top w:w="15" w:type="dxa"/>
            <w:left w:w="15" w:type="dxa"/>
            <w:bottom w:w="15" w:type="dxa"/>
            <w:right w:w="15" w:type="dxa"/>
          </w:tblCellMar>
        </w:tblPrEx>
        <w:trPr>
          <w:trHeight w:val="625"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5803D">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C4EC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享受人数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F69F0">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color w:val="auto"/>
                <w:kern w:val="0"/>
                <w:sz w:val="21"/>
                <w:szCs w:val="21"/>
              </w:rPr>
            </w:pPr>
            <w:r>
              <w:rPr>
                <w:rFonts w:hint="eastAsia" w:ascii="宋体" w:hAnsi="宋体" w:cs="宋体"/>
                <w:color w:val="auto"/>
                <w:kern w:val="0"/>
                <w:sz w:val="21"/>
                <w:szCs w:val="21"/>
              </w:rPr>
              <w:t>基础养老金支出</w:t>
            </w:r>
          </w:p>
          <w:p w14:paraId="0F1FD716">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auto"/>
                <w:sz w:val="21"/>
                <w:szCs w:val="21"/>
              </w:rPr>
            </w:pPr>
            <w:r>
              <w:rPr>
                <w:rFonts w:hint="eastAsia" w:ascii="宋体" w:hAnsi="宋体" w:cs="宋体"/>
                <w:color w:val="auto"/>
                <w:kern w:val="0"/>
                <w:sz w:val="21"/>
                <w:szCs w:val="21"/>
              </w:rPr>
              <w:t>金额</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F7CA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auto"/>
                <w:sz w:val="21"/>
                <w:szCs w:val="21"/>
              </w:rPr>
            </w:pPr>
            <w:r>
              <w:rPr>
                <w:rFonts w:hint="eastAsia" w:ascii="宋体" w:hAnsi="宋体" w:cs="宋体"/>
                <w:color w:val="auto"/>
                <w:kern w:val="0"/>
                <w:sz w:val="21"/>
                <w:szCs w:val="21"/>
              </w:rPr>
              <w:t>享受人数</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B77E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auto"/>
                <w:sz w:val="21"/>
                <w:szCs w:val="21"/>
              </w:rPr>
            </w:pPr>
            <w:r>
              <w:rPr>
                <w:rFonts w:hint="eastAsia" w:ascii="宋体" w:hAnsi="宋体" w:cs="宋体"/>
                <w:color w:val="auto"/>
                <w:kern w:val="0"/>
                <w:sz w:val="21"/>
                <w:szCs w:val="21"/>
              </w:rPr>
              <w:t>个人账户养老金支出金额</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0570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领取人数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D85EB">
            <w:pPr>
              <w:jc w:val="center"/>
              <w:rPr>
                <w:rFonts w:ascii="宋体" w:hAnsi="宋体" w:cs="宋体"/>
                <w:color w:val="auto"/>
                <w:sz w:val="21"/>
                <w:szCs w:val="21"/>
              </w:rPr>
            </w:pPr>
            <w:r>
              <w:rPr>
                <w:rFonts w:hint="eastAsia" w:ascii="宋体" w:hAnsi="宋体" w:cs="宋体"/>
                <w:color w:val="auto"/>
                <w:kern w:val="0"/>
                <w:sz w:val="21"/>
                <w:szCs w:val="21"/>
              </w:rPr>
              <w:t>支出金额</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E195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转移人数</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0891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支出金额</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DB3A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支出人数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3F09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支出金额</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65CC0">
            <w:pPr>
              <w:jc w:val="center"/>
              <w:rPr>
                <w:rFonts w:ascii="宋体" w:hAnsi="宋体" w:cs="宋体"/>
                <w:color w:val="auto"/>
                <w:sz w:val="21"/>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B7BF1">
            <w:pPr>
              <w:jc w:val="center"/>
              <w:rPr>
                <w:rFonts w:ascii="宋体" w:hAnsi="宋体" w:cs="宋体"/>
                <w:color w:val="auto"/>
                <w:sz w:val="21"/>
                <w:szCs w:val="21"/>
              </w:rPr>
            </w:pPr>
          </w:p>
        </w:tc>
      </w:tr>
      <w:tr w14:paraId="4599DB61">
        <w:tblPrEx>
          <w:tblCellMar>
            <w:top w:w="15" w:type="dxa"/>
            <w:left w:w="15" w:type="dxa"/>
            <w:bottom w:w="15" w:type="dxa"/>
            <w:right w:w="15" w:type="dxa"/>
          </w:tblCellMar>
        </w:tblPrEx>
        <w:trPr>
          <w:trHeight w:val="397" w:hRule="exac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4A425">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11DF7">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862F0">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26F54">
            <w:pPr>
              <w:jc w:val="center"/>
              <w:rPr>
                <w:rFonts w:ascii="宋体" w:hAnsi="宋体" w:cs="宋体"/>
                <w:color w:val="auto"/>
                <w:sz w:val="21"/>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EE96A">
            <w:pPr>
              <w:jc w:val="center"/>
              <w:rPr>
                <w:rFonts w:ascii="宋体" w:hAnsi="宋体" w:cs="宋体"/>
                <w:color w:val="auto"/>
                <w:sz w:val="21"/>
                <w:szCs w:val="21"/>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EA152">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7FA4B">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5E8CD">
            <w:pPr>
              <w:jc w:val="center"/>
              <w:rPr>
                <w:rFonts w:ascii="宋体" w:hAnsi="宋体" w:cs="宋体"/>
                <w:color w:val="auto"/>
                <w:sz w:val="21"/>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20461">
            <w:pPr>
              <w:rPr>
                <w:rFonts w:ascii="宋体" w:hAnsi="宋体" w:cs="宋体"/>
                <w:color w:val="auto"/>
                <w:sz w:val="21"/>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1D4CB">
            <w:pPr>
              <w:rPr>
                <w:rFonts w:ascii="宋体" w:hAnsi="宋体" w:cs="宋体"/>
                <w:color w:val="auto"/>
                <w:sz w:val="21"/>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C8B0B">
            <w:pPr>
              <w:rPr>
                <w:rFonts w:ascii="宋体" w:hAnsi="宋体" w:cs="宋体"/>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F513E">
            <w:pPr>
              <w:rPr>
                <w:rFonts w:ascii="宋体" w:hAnsi="宋体" w:cs="宋体"/>
                <w:color w:val="auto"/>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FD27D">
            <w:pPr>
              <w:rPr>
                <w:rFonts w:ascii="宋体" w:hAnsi="宋体" w:cs="宋体"/>
                <w:color w:val="auto"/>
                <w:sz w:val="21"/>
                <w:szCs w:val="21"/>
              </w:rPr>
            </w:pPr>
          </w:p>
        </w:tc>
      </w:tr>
      <w:tr w14:paraId="4180E941">
        <w:tblPrEx>
          <w:tblCellMar>
            <w:top w:w="15" w:type="dxa"/>
            <w:left w:w="15" w:type="dxa"/>
            <w:bottom w:w="15" w:type="dxa"/>
            <w:right w:w="15" w:type="dxa"/>
          </w:tblCellMar>
        </w:tblPrEx>
        <w:trPr>
          <w:trHeight w:val="397" w:hRule="exac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E6748">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EDF52">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2B4D2">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2A0A4">
            <w:pPr>
              <w:jc w:val="center"/>
              <w:rPr>
                <w:rFonts w:ascii="宋体" w:hAnsi="宋体" w:cs="宋体"/>
                <w:color w:val="auto"/>
                <w:sz w:val="21"/>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7B7D7">
            <w:pPr>
              <w:jc w:val="center"/>
              <w:rPr>
                <w:rFonts w:ascii="宋体" w:hAnsi="宋体" w:cs="宋体"/>
                <w:color w:val="auto"/>
                <w:sz w:val="21"/>
                <w:szCs w:val="21"/>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B4682">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26464">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F86F5">
            <w:pPr>
              <w:jc w:val="center"/>
              <w:rPr>
                <w:rFonts w:ascii="宋体" w:hAnsi="宋体" w:cs="宋体"/>
                <w:color w:val="auto"/>
                <w:sz w:val="21"/>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0F32B">
            <w:pPr>
              <w:rPr>
                <w:rFonts w:ascii="宋体" w:hAnsi="宋体" w:cs="宋体"/>
                <w:color w:val="auto"/>
                <w:sz w:val="21"/>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B0D63">
            <w:pPr>
              <w:rPr>
                <w:rFonts w:ascii="宋体" w:hAnsi="宋体" w:cs="宋体"/>
                <w:color w:val="auto"/>
                <w:sz w:val="21"/>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7A5A9">
            <w:pPr>
              <w:rPr>
                <w:rFonts w:ascii="宋体" w:hAnsi="宋体" w:cs="宋体"/>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9ADB4">
            <w:pPr>
              <w:rPr>
                <w:rFonts w:ascii="宋体" w:hAnsi="宋体" w:cs="宋体"/>
                <w:color w:val="auto"/>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FB07B">
            <w:pPr>
              <w:rPr>
                <w:rFonts w:ascii="宋体" w:hAnsi="宋体" w:cs="宋体"/>
                <w:color w:val="auto"/>
                <w:sz w:val="21"/>
                <w:szCs w:val="21"/>
              </w:rPr>
            </w:pPr>
          </w:p>
        </w:tc>
      </w:tr>
      <w:tr w14:paraId="7A309A00">
        <w:tblPrEx>
          <w:tblCellMar>
            <w:top w:w="15" w:type="dxa"/>
            <w:left w:w="15" w:type="dxa"/>
            <w:bottom w:w="15" w:type="dxa"/>
            <w:right w:w="15" w:type="dxa"/>
          </w:tblCellMar>
        </w:tblPrEx>
        <w:trPr>
          <w:trHeight w:val="397" w:hRule="exact"/>
          <w:jc w:val="center"/>
        </w:trPr>
        <w:tc>
          <w:tcPr>
            <w:tcW w:w="106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40628F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小   计</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E6A9B8B">
            <w:pPr>
              <w:jc w:val="center"/>
              <w:rPr>
                <w:rFonts w:ascii="宋体" w:hAnsi="宋体" w:cs="宋体"/>
                <w:color w:val="auto"/>
                <w:sz w:val="21"/>
                <w:szCs w:val="21"/>
              </w:rPr>
            </w:pPr>
          </w:p>
        </w:tc>
        <w:tc>
          <w:tcPr>
            <w:tcW w:w="104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6F34859">
            <w:pPr>
              <w:jc w:val="center"/>
              <w:rPr>
                <w:rFonts w:ascii="宋体" w:hAnsi="宋体" w:cs="宋体"/>
                <w:color w:val="auto"/>
                <w:sz w:val="21"/>
                <w:szCs w:val="21"/>
              </w:rPr>
            </w:pPr>
          </w:p>
        </w:tc>
        <w:tc>
          <w:tcPr>
            <w:tcW w:w="88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E8E9F20">
            <w:pPr>
              <w:jc w:val="center"/>
              <w:rPr>
                <w:rFonts w:ascii="宋体" w:hAnsi="宋体" w:cs="宋体"/>
                <w:color w:val="auto"/>
                <w:sz w:val="21"/>
                <w:szCs w:val="21"/>
              </w:rPr>
            </w:pPr>
          </w:p>
        </w:tc>
        <w:tc>
          <w:tcPr>
            <w:tcW w:w="127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E34BDB9">
            <w:pPr>
              <w:jc w:val="center"/>
              <w:rPr>
                <w:rFonts w:ascii="宋体" w:hAnsi="宋体" w:cs="宋体"/>
                <w:color w:val="auto"/>
                <w:sz w:val="21"/>
                <w:szCs w:val="21"/>
              </w:rPr>
            </w:pPr>
          </w:p>
        </w:tc>
        <w:tc>
          <w:tcPr>
            <w:tcW w:w="10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8702719">
            <w:pPr>
              <w:jc w:val="center"/>
              <w:rPr>
                <w:rFonts w:ascii="宋体" w:hAnsi="宋体" w:cs="宋体"/>
                <w:color w:val="auto"/>
                <w:sz w:val="21"/>
                <w:szCs w:val="21"/>
              </w:rPr>
            </w:pPr>
          </w:p>
        </w:tc>
        <w:tc>
          <w:tcPr>
            <w:tcW w:w="984" w:type="dxa"/>
            <w:tcBorders>
              <w:top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BFCF52B">
            <w:pPr>
              <w:jc w:val="center"/>
              <w:rPr>
                <w:rFonts w:ascii="宋体" w:hAnsi="宋体" w:cs="宋体"/>
                <w:color w:val="auto"/>
                <w:sz w:val="21"/>
                <w:szCs w:val="21"/>
              </w:rPr>
            </w:pPr>
          </w:p>
        </w:tc>
        <w:tc>
          <w:tcPr>
            <w:tcW w:w="98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04E2A66">
            <w:pPr>
              <w:jc w:val="center"/>
              <w:rPr>
                <w:rFonts w:ascii="宋体" w:hAnsi="宋体" w:cs="宋体"/>
                <w:color w:val="auto"/>
                <w:sz w:val="21"/>
                <w:szCs w:val="21"/>
              </w:rPr>
            </w:pPr>
          </w:p>
        </w:tc>
        <w:tc>
          <w:tcPr>
            <w:tcW w:w="10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A9AAB4D">
            <w:pPr>
              <w:rPr>
                <w:rFonts w:ascii="宋体" w:hAnsi="宋体" w:cs="宋体"/>
                <w:color w:val="auto"/>
                <w:sz w:val="21"/>
                <w:szCs w:val="21"/>
              </w:rPr>
            </w:pPr>
          </w:p>
        </w:tc>
        <w:tc>
          <w:tcPr>
            <w:tcW w:w="110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87171DA">
            <w:pPr>
              <w:rPr>
                <w:rFonts w:ascii="宋体" w:hAnsi="宋体" w:cs="宋体"/>
                <w:color w:val="auto"/>
                <w:sz w:val="21"/>
                <w:szCs w:val="21"/>
              </w:rPr>
            </w:pPr>
          </w:p>
        </w:tc>
        <w:tc>
          <w:tcPr>
            <w:tcW w:w="106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077D8C3">
            <w:pPr>
              <w:rPr>
                <w:rFonts w:ascii="宋体" w:hAnsi="宋体" w:cs="宋体"/>
                <w:color w:val="auto"/>
                <w:sz w:val="21"/>
                <w:szCs w:val="21"/>
              </w:rPr>
            </w:pPr>
          </w:p>
        </w:tc>
        <w:tc>
          <w:tcPr>
            <w:tcW w:w="86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F5FAA21">
            <w:pPr>
              <w:rPr>
                <w:rFonts w:ascii="宋体" w:hAnsi="宋体" w:cs="宋体"/>
                <w:color w:val="auto"/>
                <w:sz w:val="21"/>
                <w:szCs w:val="21"/>
              </w:rPr>
            </w:pPr>
          </w:p>
        </w:tc>
        <w:tc>
          <w:tcPr>
            <w:tcW w:w="13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368B1AC">
            <w:pPr>
              <w:rPr>
                <w:rFonts w:ascii="宋体" w:hAnsi="宋体" w:cs="宋体"/>
                <w:color w:val="auto"/>
                <w:sz w:val="21"/>
                <w:szCs w:val="21"/>
              </w:rPr>
            </w:pPr>
          </w:p>
        </w:tc>
      </w:tr>
      <w:tr w14:paraId="5EB4E2A8">
        <w:tblPrEx>
          <w:tblCellMar>
            <w:top w:w="15" w:type="dxa"/>
            <w:left w:w="15" w:type="dxa"/>
            <w:bottom w:w="15" w:type="dxa"/>
            <w:right w:w="15" w:type="dxa"/>
          </w:tblCellMar>
        </w:tblPrEx>
        <w:trPr>
          <w:trHeight w:val="313" w:hRule="atLeast"/>
          <w:jc w:val="center"/>
        </w:trPr>
        <w:tc>
          <w:tcPr>
            <w:tcW w:w="6181" w:type="dxa"/>
            <w:gridSpan w:val="6"/>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bottom"/>
          </w:tcPr>
          <w:p w14:paraId="5B3C1DC1">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业务科室核定意见：</w:t>
            </w:r>
          </w:p>
          <w:p w14:paraId="53533E0D">
            <w:pPr>
              <w:widowControl/>
              <w:textAlignment w:val="center"/>
              <w:rPr>
                <w:rFonts w:ascii="宋体" w:hAnsi="宋体" w:cs="宋体"/>
                <w:color w:val="auto"/>
                <w:kern w:val="0"/>
                <w:sz w:val="21"/>
                <w:szCs w:val="21"/>
              </w:rPr>
            </w:pPr>
          </w:p>
          <w:p w14:paraId="0B18DD6E">
            <w:pPr>
              <w:widowControl/>
              <w:ind w:firstLine="630" w:firstLineChars="300"/>
              <w:textAlignment w:val="center"/>
              <w:rPr>
                <w:rFonts w:ascii="宋体" w:hAnsi="宋体" w:cs="宋体"/>
                <w:color w:val="auto"/>
                <w:kern w:val="0"/>
                <w:sz w:val="21"/>
                <w:szCs w:val="21"/>
              </w:rPr>
            </w:pPr>
            <w:r>
              <w:rPr>
                <w:rFonts w:hint="eastAsia" w:ascii="宋体" w:hAnsi="宋体" w:cs="宋体"/>
                <w:color w:val="auto"/>
                <w:kern w:val="0"/>
                <w:sz w:val="21"/>
                <w:szCs w:val="21"/>
              </w:rPr>
              <w:t>核定人：             年    月    日（签章）</w:t>
            </w:r>
          </w:p>
        </w:tc>
        <w:tc>
          <w:tcPr>
            <w:tcW w:w="7356" w:type="dxa"/>
            <w:gridSpan w:val="7"/>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bottom"/>
          </w:tcPr>
          <w:p w14:paraId="6134538A">
            <w:pPr>
              <w:widowControl/>
              <w:jc w:val="left"/>
              <w:textAlignment w:val="bottom"/>
              <w:rPr>
                <w:rFonts w:ascii="宋体" w:hAnsi="宋体" w:cs="宋体"/>
                <w:color w:val="auto"/>
                <w:sz w:val="21"/>
                <w:szCs w:val="21"/>
              </w:rPr>
            </w:pPr>
            <w:r>
              <w:rPr>
                <w:rFonts w:hint="eastAsia" w:ascii="宋体" w:hAnsi="宋体" w:cs="宋体"/>
                <w:color w:val="auto"/>
                <w:kern w:val="0"/>
                <w:sz w:val="21"/>
                <w:szCs w:val="21"/>
              </w:rPr>
              <w:t>单位领导审批意见：</w:t>
            </w:r>
          </w:p>
        </w:tc>
      </w:tr>
      <w:tr w14:paraId="11C02A5F">
        <w:tblPrEx>
          <w:tblCellMar>
            <w:top w:w="15" w:type="dxa"/>
            <w:left w:w="15" w:type="dxa"/>
            <w:bottom w:w="15" w:type="dxa"/>
            <w:right w:w="15" w:type="dxa"/>
          </w:tblCellMar>
        </w:tblPrEx>
        <w:trPr>
          <w:trHeight w:val="313" w:hRule="atLeast"/>
          <w:jc w:val="center"/>
        </w:trPr>
        <w:tc>
          <w:tcPr>
            <w:tcW w:w="6181" w:type="dxa"/>
            <w:gridSpan w:val="6"/>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bottom"/>
          </w:tcPr>
          <w:p w14:paraId="3406C623">
            <w:pPr>
              <w:widowControl/>
              <w:textAlignment w:val="center"/>
              <w:rPr>
                <w:rFonts w:ascii="宋体" w:hAnsi="宋体" w:cs="宋体"/>
                <w:color w:val="auto"/>
                <w:kern w:val="0"/>
                <w:sz w:val="21"/>
                <w:szCs w:val="21"/>
              </w:rPr>
            </w:pPr>
          </w:p>
        </w:tc>
        <w:tc>
          <w:tcPr>
            <w:tcW w:w="7356" w:type="dxa"/>
            <w:gridSpan w:val="7"/>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bottom"/>
          </w:tcPr>
          <w:p w14:paraId="6ED1BDAA">
            <w:pPr>
              <w:widowControl/>
              <w:ind w:firstLine="630" w:firstLineChars="300"/>
              <w:jc w:val="left"/>
              <w:textAlignment w:val="bottom"/>
              <w:rPr>
                <w:rFonts w:ascii="宋体" w:hAnsi="宋体" w:cs="宋体"/>
                <w:color w:val="auto"/>
                <w:kern w:val="0"/>
                <w:sz w:val="21"/>
                <w:szCs w:val="21"/>
              </w:rPr>
            </w:pPr>
            <w:r>
              <w:rPr>
                <w:rFonts w:hint="eastAsia" w:ascii="宋体" w:hAnsi="宋体" w:cs="宋体"/>
                <w:color w:val="auto"/>
                <w:kern w:val="0"/>
                <w:sz w:val="21"/>
                <w:szCs w:val="21"/>
              </w:rPr>
              <w:t>审批人：           年    月    日（签章）</w:t>
            </w:r>
          </w:p>
        </w:tc>
      </w:tr>
    </w:tbl>
    <w:p w14:paraId="00377F86">
      <w:pPr>
        <w:rPr>
          <w:rFonts w:hint="eastAsia"/>
          <w:color w:val="auto"/>
          <w:sz w:val="21"/>
          <w:szCs w:val="21"/>
        </w:rPr>
      </w:pPr>
      <w:r>
        <w:rPr>
          <w:rFonts w:hint="eastAsia"/>
          <w:color w:val="auto"/>
          <w:sz w:val="21"/>
          <w:szCs w:val="21"/>
          <w:lang w:val="en-US" w:eastAsia="zh-CN"/>
        </w:rPr>
        <w:t xml:space="preserve">   </w:t>
      </w:r>
      <w:r>
        <w:rPr>
          <w:rFonts w:hint="eastAsia"/>
          <w:color w:val="auto"/>
          <w:sz w:val="21"/>
          <w:szCs w:val="21"/>
        </w:rPr>
        <w:t xml:space="preserve">制表人：                                                                   制表日期：       年      月      日 </w:t>
      </w:r>
    </w:p>
    <w:p w14:paraId="03DBACBD">
      <w:pPr>
        <w:rPr>
          <w:color w:val="auto"/>
        </w:rPr>
      </w:pPr>
      <w:r>
        <w:rPr>
          <w:rFonts w:hint="eastAsia"/>
          <w:color w:val="auto"/>
          <w:sz w:val="21"/>
          <w:szCs w:val="21"/>
          <w:lang w:val="en-US" w:eastAsia="zh-CN"/>
        </w:rPr>
        <w:t xml:space="preserve"> </w:t>
      </w:r>
      <w:r>
        <w:rPr>
          <w:rFonts w:hint="eastAsia"/>
          <w:b/>
          <w:bCs/>
          <w:color w:val="auto"/>
          <w:sz w:val="21"/>
          <w:szCs w:val="21"/>
          <w:lang w:val="en-US" w:eastAsia="zh-CN"/>
        </w:rPr>
        <w:t xml:space="preserve">  </w:t>
      </w:r>
      <w:r>
        <w:rPr>
          <w:rFonts w:hint="eastAsia"/>
          <w:b/>
          <w:bCs/>
          <w:color w:val="auto"/>
          <w:sz w:val="21"/>
          <w:szCs w:val="21"/>
        </w:rPr>
        <w:t>注：</w:t>
      </w:r>
      <w:r>
        <w:rPr>
          <w:rFonts w:hint="eastAsia"/>
          <w:color w:val="auto"/>
          <w:sz w:val="21"/>
          <w:szCs w:val="21"/>
        </w:rPr>
        <w:t>本表一式三份，县社保机构业务、财务及县财政部门各留存一份。</w:t>
      </w:r>
      <w:r>
        <w:rPr>
          <w:color w:val="auto"/>
        </w:rPr>
        <w:br w:type="page"/>
      </w:r>
      <w:r>
        <w:rPr>
          <w:rFonts w:hint="eastAsia" w:ascii="黑体" w:hAnsi="黑体" w:eastAsia="黑体" w:cs="黑体"/>
          <w:color w:val="auto"/>
          <w:sz w:val="32"/>
          <w:szCs w:val="32"/>
        </w:rPr>
        <w:t>附件10</w:t>
      </w:r>
    </w:p>
    <w:p w14:paraId="07811098">
      <w:pPr>
        <w:jc w:val="center"/>
        <w:rPr>
          <w:color w:val="auto"/>
        </w:rPr>
      </w:pPr>
      <w:r>
        <w:rPr>
          <w:rFonts w:hint="eastAsia" w:ascii="方正小标宋简体" w:hAnsi="方正小标宋简体" w:eastAsia="方正小标宋简体" w:cs="方正小标宋简体"/>
          <w:color w:val="auto"/>
          <w:kern w:val="0"/>
          <w:sz w:val="44"/>
          <w:szCs w:val="44"/>
        </w:rPr>
        <w:t>居民基本养老保险基金支付汇总表</w:t>
      </w:r>
    </w:p>
    <w:tbl>
      <w:tblPr>
        <w:tblStyle w:val="8"/>
        <w:tblW w:w="14712" w:type="dxa"/>
        <w:tblInd w:w="0" w:type="dxa"/>
        <w:tblLayout w:type="fixed"/>
        <w:tblCellMar>
          <w:top w:w="15" w:type="dxa"/>
          <w:left w:w="15" w:type="dxa"/>
          <w:bottom w:w="15" w:type="dxa"/>
          <w:right w:w="15" w:type="dxa"/>
        </w:tblCellMar>
      </w:tblPr>
      <w:tblGrid>
        <w:gridCol w:w="649"/>
        <w:gridCol w:w="1092"/>
        <w:gridCol w:w="1236"/>
        <w:gridCol w:w="1020"/>
        <w:gridCol w:w="936"/>
        <w:gridCol w:w="984"/>
        <w:gridCol w:w="1128"/>
        <w:gridCol w:w="1164"/>
        <w:gridCol w:w="1044"/>
        <w:gridCol w:w="828"/>
        <w:gridCol w:w="972"/>
        <w:gridCol w:w="813"/>
        <w:gridCol w:w="1011"/>
        <w:gridCol w:w="935"/>
        <w:gridCol w:w="900"/>
      </w:tblGrid>
      <w:tr w14:paraId="7CA9AA67">
        <w:tblPrEx>
          <w:tblCellMar>
            <w:top w:w="15" w:type="dxa"/>
            <w:left w:w="15" w:type="dxa"/>
            <w:bottom w:w="15" w:type="dxa"/>
            <w:right w:w="15" w:type="dxa"/>
          </w:tblCellMar>
        </w:tblPrEx>
        <w:trPr>
          <w:trHeight w:val="459" w:hRule="atLeast"/>
        </w:trPr>
        <w:tc>
          <w:tcPr>
            <w:tcW w:w="14712" w:type="dxa"/>
            <w:gridSpan w:val="15"/>
            <w:shd w:val="clear" w:color="auto" w:fill="auto"/>
            <w:tcMar>
              <w:top w:w="12" w:type="dxa"/>
              <w:left w:w="12" w:type="dxa"/>
              <w:right w:w="12" w:type="dxa"/>
            </w:tcMar>
            <w:vAlign w:val="center"/>
          </w:tcPr>
          <w:p w14:paraId="475F03B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年     月）</w:t>
            </w:r>
          </w:p>
        </w:tc>
      </w:tr>
      <w:tr w14:paraId="7988A555">
        <w:tblPrEx>
          <w:tblCellMar>
            <w:top w:w="15" w:type="dxa"/>
            <w:left w:w="15" w:type="dxa"/>
            <w:bottom w:w="15" w:type="dxa"/>
            <w:right w:w="15" w:type="dxa"/>
          </w:tblCellMar>
        </w:tblPrEx>
        <w:trPr>
          <w:trHeight w:val="228" w:hRule="atLeast"/>
        </w:trPr>
        <w:tc>
          <w:tcPr>
            <w:tcW w:w="14712" w:type="dxa"/>
            <w:gridSpan w:val="15"/>
            <w:tcBorders>
              <w:bottom w:val="single" w:color="000000" w:sz="4" w:space="0"/>
            </w:tcBorders>
            <w:shd w:val="clear" w:color="auto" w:fill="auto"/>
            <w:tcMar>
              <w:top w:w="12" w:type="dxa"/>
              <w:left w:w="12" w:type="dxa"/>
              <w:right w:w="12" w:type="dxa"/>
            </w:tcMar>
            <w:vAlign w:val="bottom"/>
          </w:tcPr>
          <w:p w14:paraId="5EA83A3D">
            <w:pPr>
              <w:widowControl/>
              <w:jc w:val="left"/>
              <w:textAlignment w:val="bottom"/>
              <w:rPr>
                <w:rFonts w:hint="eastAsia" w:ascii="宋体" w:hAnsi="宋体" w:eastAsia="宋体" w:cs="宋体"/>
                <w:color w:val="auto"/>
                <w:sz w:val="21"/>
                <w:szCs w:val="21"/>
                <w:lang w:eastAsia="zh-CN"/>
              </w:rPr>
            </w:pPr>
            <w:r>
              <w:rPr>
                <w:rFonts w:hint="eastAsia" w:ascii="宋体" w:hAnsi="宋体" w:cs="宋体"/>
                <w:color w:val="auto"/>
                <w:kern w:val="0"/>
                <w:sz w:val="21"/>
                <w:szCs w:val="21"/>
              </w:rPr>
              <w:t>县（市、区）</w:t>
            </w:r>
            <w:r>
              <w:rPr>
                <w:rFonts w:hint="eastAsia" w:ascii="宋体" w:hAnsi="宋体" w:cs="宋体"/>
                <w:color w:val="auto"/>
                <w:kern w:val="0"/>
                <w:sz w:val="21"/>
                <w:szCs w:val="21"/>
                <w:lang w:eastAsia="zh-CN"/>
              </w:rPr>
              <w:t>：</w:t>
            </w:r>
          </w:p>
        </w:tc>
      </w:tr>
      <w:tr w14:paraId="2CFC76F5">
        <w:tblPrEx>
          <w:tblCellMar>
            <w:top w:w="15" w:type="dxa"/>
            <w:left w:w="15" w:type="dxa"/>
            <w:bottom w:w="15" w:type="dxa"/>
            <w:right w:w="15" w:type="dxa"/>
          </w:tblCellMar>
        </w:tblPrEx>
        <w:trPr>
          <w:trHeight w:val="636"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8CE1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序号</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7E393">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乡镇</w:t>
            </w:r>
          </w:p>
          <w:p w14:paraId="4CD563CD">
            <w:pPr>
              <w:widowControl/>
              <w:jc w:val="center"/>
              <w:textAlignment w:val="center"/>
              <w:rPr>
                <w:rFonts w:ascii="宋体" w:hAnsi="宋体" w:cs="宋体"/>
                <w:color w:val="auto"/>
                <w:sz w:val="21"/>
                <w:szCs w:val="21"/>
              </w:rPr>
            </w:pPr>
            <w:r>
              <w:rPr>
                <w:rStyle w:val="15"/>
                <w:rFonts w:hint="default"/>
                <w:color w:val="auto"/>
                <w:sz w:val="21"/>
                <w:szCs w:val="21"/>
              </w:rPr>
              <w:t>（街道）</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AB10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村（居）委会名称</w:t>
            </w:r>
          </w:p>
        </w:tc>
        <w:tc>
          <w:tcPr>
            <w:tcW w:w="1956"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EE2E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按月享受基础</w:t>
            </w:r>
          </w:p>
          <w:p w14:paraId="46CBE84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养老金支出</w:t>
            </w:r>
          </w:p>
        </w:tc>
        <w:tc>
          <w:tcPr>
            <w:tcW w:w="2112"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E6EA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按月享受个人</w:t>
            </w:r>
          </w:p>
          <w:p w14:paraId="6E0DB5D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账户养老金支出</w:t>
            </w:r>
          </w:p>
        </w:tc>
        <w:tc>
          <w:tcPr>
            <w:tcW w:w="2208"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54E5F">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一次性领取个人账户资金余额支出</w:t>
            </w:r>
          </w:p>
        </w:tc>
        <w:tc>
          <w:tcPr>
            <w:tcW w:w="1800"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EBA6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转移支出</w:t>
            </w:r>
          </w:p>
        </w:tc>
        <w:tc>
          <w:tcPr>
            <w:tcW w:w="1824"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7239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丧葬补助金支出</w:t>
            </w:r>
          </w:p>
        </w:tc>
        <w:tc>
          <w:tcPr>
            <w:tcW w:w="93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F570E4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人数合计</w:t>
            </w:r>
          </w:p>
        </w:tc>
        <w:tc>
          <w:tcPr>
            <w:tcW w:w="9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BF98F5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支出金额合计</w:t>
            </w:r>
          </w:p>
        </w:tc>
      </w:tr>
      <w:tr w14:paraId="632DD0E3">
        <w:tblPrEx>
          <w:tblCellMar>
            <w:top w:w="15" w:type="dxa"/>
            <w:left w:w="15" w:type="dxa"/>
            <w:bottom w:w="15" w:type="dxa"/>
            <w:right w:w="15" w:type="dxa"/>
          </w:tblCellMar>
        </w:tblPrEx>
        <w:trPr>
          <w:trHeight w:val="58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57ED7">
            <w:pPr>
              <w:jc w:val="center"/>
              <w:rPr>
                <w:rFonts w:ascii="宋体" w:hAnsi="宋体" w:cs="宋体"/>
                <w:color w:val="auto"/>
                <w:sz w:val="21"/>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EAD94">
            <w:pPr>
              <w:jc w:val="center"/>
              <w:rPr>
                <w:rFonts w:ascii="宋体" w:hAnsi="宋体" w:cs="宋体"/>
                <w:color w:val="auto"/>
                <w:sz w:val="21"/>
                <w:szCs w:val="21"/>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2CA98">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DC73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4E80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93E1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A7DE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A334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144E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87F4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BFD4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DDB3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16F9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93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21506">
            <w:pPr>
              <w:jc w:val="center"/>
              <w:rPr>
                <w:rFonts w:ascii="宋体" w:hAnsi="宋体" w:cs="宋体"/>
                <w:color w:val="auto"/>
                <w:sz w:val="21"/>
                <w:szCs w:val="21"/>
              </w:rPr>
            </w:pPr>
          </w:p>
        </w:tc>
        <w:tc>
          <w:tcPr>
            <w:tcW w:w="9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30369">
            <w:pPr>
              <w:jc w:val="center"/>
              <w:rPr>
                <w:rFonts w:ascii="宋体" w:hAnsi="宋体" w:cs="宋体"/>
                <w:color w:val="auto"/>
                <w:sz w:val="21"/>
                <w:szCs w:val="21"/>
              </w:rPr>
            </w:pPr>
          </w:p>
        </w:tc>
      </w:tr>
      <w:tr w14:paraId="6A17E05A">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75D2D5">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6A014">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D4C53">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BA702">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47924">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0D976">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8CA7E">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1893F">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F8F6E">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1F607">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D8FDB">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BC2B4">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1689E">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40846">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13EF0">
            <w:pPr>
              <w:rPr>
                <w:rFonts w:ascii="宋体" w:hAnsi="宋体" w:cs="宋体"/>
                <w:color w:val="auto"/>
                <w:sz w:val="21"/>
                <w:szCs w:val="21"/>
              </w:rPr>
            </w:pPr>
          </w:p>
        </w:tc>
      </w:tr>
      <w:tr w14:paraId="398D292D">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79724">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667E2">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7DDD9">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B3455">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699BB">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43F8F">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83F67">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785F4">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2F327">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0693D">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30C16">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D4C1D">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799E7">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3F9BA">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83F53">
            <w:pPr>
              <w:rPr>
                <w:rFonts w:ascii="宋体" w:hAnsi="宋体" w:cs="宋体"/>
                <w:color w:val="auto"/>
                <w:sz w:val="21"/>
                <w:szCs w:val="21"/>
              </w:rPr>
            </w:pPr>
          </w:p>
        </w:tc>
      </w:tr>
      <w:tr w14:paraId="1A8538CD">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F37A9">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CEC30">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69E75">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9CEE3">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E3C92">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97973">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08485">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B954A">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5D579">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D7BFB">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F4415">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82F32">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A78AA">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C4D66">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377E8">
            <w:pPr>
              <w:rPr>
                <w:rFonts w:ascii="宋体" w:hAnsi="宋体" w:cs="宋体"/>
                <w:color w:val="auto"/>
                <w:sz w:val="21"/>
                <w:szCs w:val="21"/>
              </w:rPr>
            </w:pPr>
          </w:p>
        </w:tc>
      </w:tr>
      <w:tr w14:paraId="27B93B4F">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C2998">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2EEAE">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54452">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7670B">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C92E5">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36B9B">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1564D">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F367B">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64311">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075A9">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4F249">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F417D">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F924F">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552B4">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9344A">
            <w:pPr>
              <w:rPr>
                <w:rFonts w:ascii="宋体" w:hAnsi="宋体" w:cs="宋体"/>
                <w:color w:val="auto"/>
                <w:sz w:val="21"/>
                <w:szCs w:val="21"/>
              </w:rPr>
            </w:pPr>
          </w:p>
        </w:tc>
      </w:tr>
      <w:tr w14:paraId="68B4BB43">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3583E">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CE676">
            <w:pPr>
              <w:jc w:val="cente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0DADC">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613C8">
            <w:pPr>
              <w:jc w:val="cente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3367E">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D7EFD">
            <w:pPr>
              <w:jc w:val="cente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F43C7">
            <w:pPr>
              <w:jc w:val="cente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965D7">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77480">
            <w:pPr>
              <w:jc w:val="cente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E916E">
            <w:pPr>
              <w:jc w:val="cente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58B3A">
            <w:pPr>
              <w:jc w:val="cente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AC9E9">
            <w:pPr>
              <w:jc w:val="cente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285CD">
            <w:pPr>
              <w:jc w:val="cente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9EC5F">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65304">
            <w:pPr>
              <w:jc w:val="center"/>
              <w:rPr>
                <w:rFonts w:ascii="宋体" w:hAnsi="宋体" w:cs="宋体"/>
                <w:color w:val="auto"/>
                <w:sz w:val="21"/>
                <w:szCs w:val="21"/>
              </w:rPr>
            </w:pPr>
          </w:p>
        </w:tc>
      </w:tr>
      <w:tr w14:paraId="70F9988C">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FE865">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05F5D">
            <w:pPr>
              <w:jc w:val="cente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3B44E">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1347E">
            <w:pPr>
              <w:jc w:val="cente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284D0">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157C5">
            <w:pPr>
              <w:jc w:val="cente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14F9">
            <w:pPr>
              <w:jc w:val="cente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D0468">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95349">
            <w:pPr>
              <w:jc w:val="cente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570FC">
            <w:pPr>
              <w:jc w:val="cente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B11AE">
            <w:pPr>
              <w:jc w:val="cente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6B1AE">
            <w:pPr>
              <w:jc w:val="cente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655D4">
            <w:pPr>
              <w:jc w:val="cente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942D6">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744B9">
            <w:pPr>
              <w:jc w:val="center"/>
              <w:rPr>
                <w:rFonts w:ascii="宋体" w:hAnsi="宋体" w:cs="宋体"/>
                <w:color w:val="auto"/>
                <w:sz w:val="21"/>
                <w:szCs w:val="21"/>
              </w:rPr>
            </w:pPr>
          </w:p>
        </w:tc>
      </w:tr>
      <w:tr w14:paraId="7C0F16C4">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7E6F4">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42790">
            <w:pPr>
              <w:jc w:val="cente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3B4B1">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609E0">
            <w:pPr>
              <w:jc w:val="cente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B7676">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3D741">
            <w:pPr>
              <w:jc w:val="cente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572FA">
            <w:pPr>
              <w:jc w:val="cente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67701">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0A0D43">
            <w:pPr>
              <w:jc w:val="cente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D2882">
            <w:pPr>
              <w:jc w:val="cente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EC251">
            <w:pPr>
              <w:jc w:val="cente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4DF9D">
            <w:pPr>
              <w:jc w:val="cente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832F7">
            <w:pPr>
              <w:jc w:val="cente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99BB8">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8589E">
            <w:pPr>
              <w:jc w:val="center"/>
              <w:rPr>
                <w:rFonts w:ascii="宋体" w:hAnsi="宋体" w:cs="宋体"/>
                <w:color w:val="auto"/>
                <w:sz w:val="21"/>
                <w:szCs w:val="21"/>
              </w:rPr>
            </w:pPr>
          </w:p>
        </w:tc>
      </w:tr>
      <w:tr w14:paraId="22D670A5">
        <w:tblPrEx>
          <w:tblCellMar>
            <w:top w:w="15" w:type="dxa"/>
            <w:left w:w="15" w:type="dxa"/>
            <w:bottom w:w="15" w:type="dxa"/>
            <w:right w:w="15" w:type="dxa"/>
          </w:tblCellMar>
        </w:tblPrEx>
        <w:trPr>
          <w:trHeight w:val="228" w:hRule="atLeast"/>
        </w:trPr>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B91B8">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合计金额（大写）</w:t>
            </w:r>
          </w:p>
        </w:tc>
        <w:tc>
          <w:tcPr>
            <w:tcW w:w="11735"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14E8B">
            <w:pPr>
              <w:jc w:val="center"/>
              <w:rPr>
                <w:rFonts w:ascii="宋体" w:hAnsi="宋体" w:cs="宋体"/>
                <w:color w:val="auto"/>
                <w:sz w:val="21"/>
                <w:szCs w:val="21"/>
              </w:rPr>
            </w:pPr>
          </w:p>
        </w:tc>
      </w:tr>
      <w:tr w14:paraId="057D121B">
        <w:tblPrEx>
          <w:tblCellMar>
            <w:top w:w="15" w:type="dxa"/>
            <w:left w:w="15" w:type="dxa"/>
            <w:bottom w:w="15" w:type="dxa"/>
            <w:right w:w="15" w:type="dxa"/>
          </w:tblCellMar>
        </w:tblPrEx>
        <w:trPr>
          <w:trHeight w:val="228" w:hRule="atLeast"/>
        </w:trPr>
        <w:tc>
          <w:tcPr>
            <w:tcW w:w="14712" w:type="dxa"/>
            <w:gridSpan w:val="15"/>
            <w:tcBorders>
              <w:top w:val="single" w:color="000000" w:sz="4" w:space="0"/>
            </w:tcBorders>
            <w:shd w:val="clear" w:color="auto" w:fill="auto"/>
            <w:tcMar>
              <w:top w:w="12" w:type="dxa"/>
              <w:left w:w="12" w:type="dxa"/>
              <w:right w:w="12" w:type="dxa"/>
            </w:tcMar>
            <w:vAlign w:val="center"/>
          </w:tcPr>
          <w:p w14:paraId="56ED236A">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业务制表人:                                        打印日期：      年      月     日   </w:t>
            </w:r>
          </w:p>
        </w:tc>
      </w:tr>
      <w:tr w14:paraId="62946F3B">
        <w:tblPrEx>
          <w:tblCellMar>
            <w:top w:w="15" w:type="dxa"/>
            <w:left w:w="15" w:type="dxa"/>
            <w:bottom w:w="15" w:type="dxa"/>
            <w:right w:w="15" w:type="dxa"/>
          </w:tblCellMar>
        </w:tblPrEx>
        <w:trPr>
          <w:trHeight w:val="228" w:hRule="atLeast"/>
        </w:trPr>
        <w:tc>
          <w:tcPr>
            <w:tcW w:w="14712" w:type="dxa"/>
            <w:gridSpan w:val="15"/>
            <w:shd w:val="clear" w:color="auto" w:fill="auto"/>
            <w:tcMar>
              <w:top w:w="12" w:type="dxa"/>
              <w:left w:w="12" w:type="dxa"/>
              <w:right w:w="12" w:type="dxa"/>
            </w:tcMar>
            <w:vAlign w:val="center"/>
          </w:tcPr>
          <w:p w14:paraId="1EF9C0A8">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财务复核人：                                       负责人：      </w:t>
            </w:r>
          </w:p>
        </w:tc>
      </w:tr>
      <w:tr w14:paraId="1696F7D5">
        <w:tblPrEx>
          <w:tblCellMar>
            <w:top w:w="15" w:type="dxa"/>
            <w:left w:w="15" w:type="dxa"/>
            <w:bottom w:w="15" w:type="dxa"/>
            <w:right w:w="15" w:type="dxa"/>
          </w:tblCellMar>
        </w:tblPrEx>
        <w:trPr>
          <w:trHeight w:val="228" w:hRule="atLeast"/>
        </w:trPr>
        <w:tc>
          <w:tcPr>
            <w:tcW w:w="14712" w:type="dxa"/>
            <w:gridSpan w:val="15"/>
            <w:shd w:val="clear" w:color="auto" w:fill="auto"/>
            <w:tcMar>
              <w:top w:w="12" w:type="dxa"/>
              <w:left w:w="12" w:type="dxa"/>
              <w:right w:w="12" w:type="dxa"/>
            </w:tcMar>
            <w:vAlign w:val="center"/>
          </w:tcPr>
          <w:p w14:paraId="130D6C66">
            <w:pPr>
              <w:widowControl/>
              <w:jc w:val="left"/>
              <w:textAlignment w:val="center"/>
              <w:rPr>
                <w:rFonts w:ascii="宋体" w:hAnsi="宋体" w:cs="宋体"/>
                <w:color w:val="auto"/>
                <w:kern w:val="0"/>
                <w:sz w:val="21"/>
                <w:szCs w:val="21"/>
              </w:rPr>
            </w:pPr>
            <w:r>
              <w:rPr>
                <w:rFonts w:ascii="宋体" w:hAnsi="宋体" w:cs="宋体"/>
                <w:b/>
                <w:color w:val="auto"/>
                <w:kern w:val="0"/>
                <w:sz w:val="21"/>
                <w:szCs w:val="21"/>
              </w:rPr>
              <w:t>注：</w:t>
            </w:r>
            <w:r>
              <w:rPr>
                <w:rFonts w:ascii="宋体" w:hAnsi="宋体" w:cs="宋体"/>
                <w:color w:val="auto"/>
                <w:kern w:val="0"/>
                <w:sz w:val="21"/>
                <w:szCs w:val="21"/>
              </w:rPr>
              <w:t>本表一式两联，由业务经办人员打印，一份交财务人员记账，一份业务归档。</w:t>
            </w:r>
          </w:p>
        </w:tc>
      </w:tr>
    </w:tbl>
    <w:p w14:paraId="74A63001">
      <w:pPr>
        <w:rPr>
          <w:color w:val="auto"/>
        </w:rPr>
        <w:sectPr>
          <w:pgSz w:w="16838" w:h="11906" w:orient="landscape"/>
          <w:pgMar w:top="1304" w:right="1440" w:bottom="1304" w:left="1440" w:header="851" w:footer="992" w:gutter="0"/>
          <w:pgBorders>
            <w:top w:val="none" w:sz="0" w:space="0"/>
            <w:left w:val="none" w:sz="0" w:space="0"/>
            <w:bottom w:val="none" w:sz="0" w:space="0"/>
            <w:right w:val="none" w:sz="0" w:space="0"/>
          </w:pgBorders>
          <w:cols w:space="0" w:num="1"/>
          <w:rtlGutter w:val="0"/>
          <w:docGrid w:type="lines" w:linePitch="453" w:charSpace="0"/>
        </w:sectPr>
      </w:pPr>
    </w:p>
    <w:p w14:paraId="52AD0EDD">
      <w:pPr>
        <w:rPr>
          <w:color w:val="auto"/>
        </w:rPr>
      </w:pPr>
      <w:r>
        <w:rPr>
          <w:rFonts w:hint="eastAsia" w:ascii="黑体" w:hAnsi="黑体" w:eastAsia="黑体" w:cs="黑体"/>
          <w:color w:val="auto"/>
          <w:kern w:val="0"/>
          <w:sz w:val="30"/>
          <w:szCs w:val="30"/>
        </w:rPr>
        <w:t>附件11</w:t>
      </w:r>
    </w:p>
    <w:p w14:paraId="78A35131">
      <w:pPr>
        <w:jc w:val="center"/>
        <w:rPr>
          <w:color w:val="auto"/>
          <w:sz w:val="44"/>
          <w:szCs w:val="44"/>
        </w:rPr>
      </w:pPr>
      <w:r>
        <w:rPr>
          <w:rFonts w:hint="eastAsia" w:ascii="方正小标宋简体" w:hAnsi="方正小标宋简体" w:eastAsia="方正小标宋简体" w:cs="方正小标宋简体"/>
          <w:color w:val="auto"/>
          <w:kern w:val="0"/>
          <w:sz w:val="44"/>
          <w:szCs w:val="44"/>
        </w:rPr>
        <w:t>居民基本养老保险注销登记表</w:t>
      </w:r>
    </w:p>
    <w:tbl>
      <w:tblPr>
        <w:tblStyle w:val="8"/>
        <w:tblW w:w="9183" w:type="dxa"/>
        <w:jc w:val="center"/>
        <w:tblLayout w:type="fixed"/>
        <w:tblCellMar>
          <w:top w:w="0" w:type="dxa"/>
          <w:left w:w="108" w:type="dxa"/>
          <w:bottom w:w="0" w:type="dxa"/>
          <w:right w:w="108" w:type="dxa"/>
        </w:tblCellMar>
      </w:tblPr>
      <w:tblGrid>
        <w:gridCol w:w="1812"/>
        <w:gridCol w:w="1368"/>
        <w:gridCol w:w="776"/>
        <w:gridCol w:w="364"/>
        <w:gridCol w:w="1510"/>
        <w:gridCol w:w="1622"/>
        <w:gridCol w:w="1731"/>
      </w:tblGrid>
      <w:tr w14:paraId="71DC5AD4">
        <w:tblPrEx>
          <w:tblCellMar>
            <w:top w:w="0" w:type="dxa"/>
            <w:left w:w="108" w:type="dxa"/>
            <w:bottom w:w="0" w:type="dxa"/>
            <w:right w:w="108" w:type="dxa"/>
          </w:tblCellMar>
        </w:tblPrEx>
        <w:trPr>
          <w:trHeight w:val="474" w:hRule="atLeast"/>
          <w:jc w:val="center"/>
        </w:trPr>
        <w:tc>
          <w:tcPr>
            <w:tcW w:w="3180" w:type="dxa"/>
            <w:gridSpan w:val="2"/>
            <w:tcBorders>
              <w:top w:val="nil"/>
              <w:left w:val="nil"/>
              <w:bottom w:val="single" w:color="000000" w:sz="4" w:space="0"/>
              <w:right w:val="nil"/>
            </w:tcBorders>
            <w:shd w:val="clear" w:color="auto" w:fill="auto"/>
            <w:vAlign w:val="center"/>
          </w:tcPr>
          <w:p w14:paraId="2BA5360D">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所属村（居）委会：</w:t>
            </w:r>
          </w:p>
        </w:tc>
        <w:tc>
          <w:tcPr>
            <w:tcW w:w="776" w:type="dxa"/>
            <w:tcBorders>
              <w:top w:val="nil"/>
              <w:left w:val="nil"/>
              <w:bottom w:val="single" w:color="000000" w:sz="4" w:space="0"/>
              <w:right w:val="nil"/>
            </w:tcBorders>
            <w:shd w:val="clear" w:color="auto" w:fill="auto"/>
            <w:vAlign w:val="center"/>
          </w:tcPr>
          <w:p w14:paraId="7CBB7576">
            <w:pPr>
              <w:widowControl/>
              <w:jc w:val="left"/>
              <w:textAlignment w:val="bottom"/>
              <w:rPr>
                <w:rFonts w:ascii="宋体" w:hAnsi="宋体" w:cs="宋体"/>
                <w:color w:val="auto"/>
                <w:kern w:val="0"/>
                <w:sz w:val="21"/>
                <w:szCs w:val="21"/>
              </w:rPr>
            </w:pPr>
          </w:p>
        </w:tc>
        <w:tc>
          <w:tcPr>
            <w:tcW w:w="364" w:type="dxa"/>
            <w:tcBorders>
              <w:top w:val="nil"/>
              <w:left w:val="nil"/>
              <w:bottom w:val="single" w:color="000000" w:sz="4" w:space="0"/>
              <w:right w:val="nil"/>
            </w:tcBorders>
            <w:shd w:val="clear" w:color="auto" w:fill="auto"/>
            <w:vAlign w:val="center"/>
          </w:tcPr>
          <w:p w14:paraId="138C7AE6">
            <w:pPr>
              <w:widowControl/>
              <w:jc w:val="left"/>
              <w:textAlignment w:val="bottom"/>
              <w:rPr>
                <w:rFonts w:ascii="宋体" w:hAnsi="宋体" w:cs="宋体"/>
                <w:color w:val="auto"/>
                <w:kern w:val="0"/>
                <w:sz w:val="21"/>
                <w:szCs w:val="21"/>
              </w:rPr>
            </w:pPr>
          </w:p>
        </w:tc>
        <w:tc>
          <w:tcPr>
            <w:tcW w:w="4863" w:type="dxa"/>
            <w:gridSpan w:val="3"/>
            <w:tcBorders>
              <w:top w:val="nil"/>
              <w:left w:val="nil"/>
              <w:bottom w:val="single" w:color="000000" w:sz="4" w:space="0"/>
              <w:right w:val="nil"/>
            </w:tcBorders>
            <w:shd w:val="clear" w:color="auto" w:fill="auto"/>
            <w:vAlign w:val="center"/>
          </w:tcPr>
          <w:p w14:paraId="0B93AE46">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 xml:space="preserve">  填表日期：     年     月     日</w:t>
            </w:r>
          </w:p>
        </w:tc>
      </w:tr>
      <w:tr w14:paraId="4EA4F454">
        <w:tblPrEx>
          <w:tblCellMar>
            <w:top w:w="0" w:type="dxa"/>
            <w:left w:w="108" w:type="dxa"/>
            <w:bottom w:w="0" w:type="dxa"/>
            <w:right w:w="108" w:type="dxa"/>
          </w:tblCellMar>
        </w:tblPrEx>
        <w:trPr>
          <w:trHeight w:val="604"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604C">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参保人姓名</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CE68D">
            <w:pPr>
              <w:widowControl/>
              <w:jc w:val="center"/>
              <w:textAlignment w:val="center"/>
              <w:rPr>
                <w:rFonts w:ascii="宋体" w:hAnsi="宋体" w:cs="宋体"/>
                <w:color w:val="auto"/>
                <w:kern w:val="0"/>
                <w:sz w:val="21"/>
                <w:szCs w:val="21"/>
              </w:rPr>
            </w:pPr>
          </w:p>
        </w:tc>
      </w:tr>
      <w:tr w14:paraId="39F1CB21">
        <w:tblPrEx>
          <w:tblCellMar>
            <w:top w:w="0" w:type="dxa"/>
            <w:left w:w="108" w:type="dxa"/>
            <w:bottom w:w="0" w:type="dxa"/>
            <w:right w:w="108" w:type="dxa"/>
          </w:tblCellMar>
        </w:tblPrEx>
        <w:trPr>
          <w:trHeight w:val="449"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774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55629F">
            <w:pPr>
              <w:widowControl/>
              <w:jc w:val="center"/>
              <w:textAlignment w:val="center"/>
              <w:rPr>
                <w:rFonts w:ascii="宋体" w:hAnsi="宋体" w:cs="宋体"/>
                <w:color w:val="auto"/>
                <w:kern w:val="0"/>
                <w:sz w:val="21"/>
                <w:szCs w:val="21"/>
              </w:rPr>
            </w:pPr>
          </w:p>
        </w:tc>
      </w:tr>
      <w:tr w14:paraId="6DD60E19">
        <w:tblPrEx>
          <w:tblCellMar>
            <w:top w:w="0" w:type="dxa"/>
            <w:left w:w="108" w:type="dxa"/>
            <w:bottom w:w="0" w:type="dxa"/>
            <w:right w:w="108" w:type="dxa"/>
          </w:tblCellMar>
        </w:tblPrEx>
        <w:trPr>
          <w:trHeight w:val="545" w:hRule="atLeast"/>
          <w:jc w:val="center"/>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782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注销原因</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15DBDA">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已享受其他基本养老保障待遇，起始时间：</w:t>
            </w:r>
            <w:r>
              <w:rPr>
                <w:rFonts w:ascii="宋体" w:hAnsi="宋体" w:cs="宋体"/>
                <w:color w:val="auto"/>
                <w:kern w:val="0"/>
                <w:sz w:val="21"/>
                <w:szCs w:val="21"/>
              </w:rPr>
              <w:t></w:t>
            </w:r>
            <w:r>
              <w:rPr>
                <w:rFonts w:hint="eastAsia" w:ascii="宋体" w:hAnsi="宋体" w:cs="宋体"/>
                <w:color w:val="auto"/>
                <w:kern w:val="0"/>
                <w:sz w:val="21"/>
                <w:szCs w:val="21"/>
              </w:rPr>
              <w:t>年</w:t>
            </w:r>
            <w:r>
              <w:rPr>
                <w:rFonts w:ascii="宋体" w:hAnsi="宋体" w:cs="宋体"/>
                <w:color w:val="auto"/>
                <w:kern w:val="0"/>
                <w:sz w:val="21"/>
                <w:szCs w:val="21"/>
              </w:rPr>
              <w:t></w:t>
            </w:r>
            <w:r>
              <w:rPr>
                <w:rFonts w:hint="eastAsia" w:ascii="宋体" w:hAnsi="宋体" w:cs="宋体"/>
                <w:color w:val="auto"/>
                <w:kern w:val="0"/>
                <w:sz w:val="21"/>
                <w:szCs w:val="21"/>
              </w:rPr>
              <w:t>月</w:t>
            </w:r>
          </w:p>
        </w:tc>
      </w:tr>
      <w:tr w14:paraId="581C9CE3">
        <w:tblPrEx>
          <w:tblCellMar>
            <w:top w:w="0" w:type="dxa"/>
            <w:left w:w="108" w:type="dxa"/>
            <w:bottom w:w="0" w:type="dxa"/>
            <w:right w:w="108" w:type="dxa"/>
          </w:tblCellMar>
        </w:tblPrEx>
        <w:trPr>
          <w:trHeight w:val="473" w:hRule="atLeast"/>
          <w:jc w:val="center"/>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A6F1">
            <w:pPr>
              <w:widowControl/>
              <w:jc w:val="center"/>
              <w:textAlignment w:val="center"/>
              <w:rPr>
                <w:rFonts w:ascii="宋体" w:hAnsi="宋体" w:cs="宋体"/>
                <w:color w:val="auto"/>
                <w:kern w:val="0"/>
                <w:sz w:val="21"/>
                <w:szCs w:val="21"/>
              </w:rPr>
            </w:pP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B4B966">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丧失国籍，丧失国籍时间：</w:t>
            </w:r>
            <w:r>
              <w:rPr>
                <w:rFonts w:ascii="宋体" w:hAnsi="宋体" w:cs="宋体"/>
                <w:color w:val="auto"/>
                <w:kern w:val="0"/>
                <w:sz w:val="21"/>
                <w:szCs w:val="21"/>
              </w:rPr>
              <w:t></w:t>
            </w:r>
            <w:r>
              <w:rPr>
                <w:rFonts w:hint="eastAsia" w:ascii="宋体" w:hAnsi="宋体" w:cs="宋体"/>
                <w:color w:val="auto"/>
                <w:kern w:val="0"/>
                <w:sz w:val="21"/>
                <w:szCs w:val="21"/>
              </w:rPr>
              <w:t>年</w:t>
            </w:r>
            <w:r>
              <w:rPr>
                <w:rFonts w:ascii="宋体" w:hAnsi="宋体" w:cs="宋体"/>
                <w:color w:val="auto"/>
                <w:kern w:val="0"/>
                <w:sz w:val="21"/>
                <w:szCs w:val="21"/>
              </w:rPr>
              <w:t></w:t>
            </w:r>
            <w:r>
              <w:rPr>
                <w:rFonts w:hint="eastAsia" w:ascii="宋体" w:hAnsi="宋体" w:cs="宋体"/>
                <w:color w:val="auto"/>
                <w:kern w:val="0"/>
                <w:sz w:val="21"/>
                <w:szCs w:val="21"/>
              </w:rPr>
              <w:t>月</w:t>
            </w:r>
          </w:p>
        </w:tc>
      </w:tr>
      <w:tr w14:paraId="4047FEC9">
        <w:tblPrEx>
          <w:tblCellMar>
            <w:top w:w="0" w:type="dxa"/>
            <w:left w:w="108" w:type="dxa"/>
            <w:bottom w:w="0" w:type="dxa"/>
            <w:right w:w="108" w:type="dxa"/>
          </w:tblCellMar>
        </w:tblPrEx>
        <w:trPr>
          <w:trHeight w:val="497" w:hRule="atLeast"/>
          <w:jc w:val="center"/>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218D">
            <w:pPr>
              <w:widowControl/>
              <w:jc w:val="center"/>
              <w:textAlignment w:val="center"/>
              <w:rPr>
                <w:rFonts w:ascii="宋体" w:hAnsi="宋体" w:cs="宋体"/>
                <w:color w:val="auto"/>
                <w:kern w:val="0"/>
                <w:sz w:val="21"/>
                <w:szCs w:val="21"/>
              </w:rPr>
            </w:pP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141357">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死亡，死亡时间：</w:t>
            </w:r>
            <w:r>
              <w:rPr>
                <w:rFonts w:ascii="宋体" w:hAnsi="宋体" w:cs="宋体"/>
                <w:color w:val="auto"/>
                <w:kern w:val="0"/>
                <w:sz w:val="21"/>
                <w:szCs w:val="21"/>
              </w:rPr>
              <w:t></w:t>
            </w:r>
            <w:r>
              <w:rPr>
                <w:rFonts w:hint="eastAsia" w:ascii="宋体" w:hAnsi="宋体" w:cs="宋体"/>
                <w:color w:val="auto"/>
                <w:kern w:val="0"/>
                <w:sz w:val="21"/>
                <w:szCs w:val="21"/>
              </w:rPr>
              <w:t>年</w:t>
            </w:r>
            <w:r>
              <w:rPr>
                <w:rFonts w:ascii="宋体" w:hAnsi="宋体" w:cs="宋体"/>
                <w:color w:val="auto"/>
                <w:kern w:val="0"/>
                <w:sz w:val="21"/>
                <w:szCs w:val="21"/>
              </w:rPr>
              <w:t></w:t>
            </w:r>
            <w:r>
              <w:rPr>
                <w:rFonts w:hint="eastAsia" w:ascii="宋体" w:hAnsi="宋体" w:cs="宋体"/>
                <w:color w:val="auto"/>
                <w:kern w:val="0"/>
                <w:sz w:val="21"/>
                <w:szCs w:val="21"/>
              </w:rPr>
              <w:t>月</w:t>
            </w:r>
          </w:p>
        </w:tc>
      </w:tr>
      <w:tr w14:paraId="0CA29E3C">
        <w:tblPrEx>
          <w:tblCellMar>
            <w:top w:w="0" w:type="dxa"/>
            <w:left w:w="108" w:type="dxa"/>
            <w:bottom w:w="0" w:type="dxa"/>
            <w:right w:w="108" w:type="dxa"/>
          </w:tblCellMar>
        </w:tblPrEx>
        <w:trPr>
          <w:trHeight w:val="461" w:hRule="atLeast"/>
          <w:jc w:val="center"/>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00B0">
            <w:pPr>
              <w:widowControl/>
              <w:jc w:val="center"/>
              <w:textAlignment w:val="center"/>
              <w:rPr>
                <w:rFonts w:ascii="宋体" w:hAnsi="宋体" w:cs="宋体"/>
                <w:color w:val="auto"/>
                <w:kern w:val="0"/>
                <w:sz w:val="21"/>
                <w:szCs w:val="21"/>
              </w:rPr>
            </w:pP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3C339B">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其他，说明：</w:t>
            </w:r>
          </w:p>
        </w:tc>
      </w:tr>
      <w:tr w14:paraId="1DFF27F4">
        <w:tblPrEx>
          <w:tblCellMar>
            <w:top w:w="0" w:type="dxa"/>
            <w:left w:w="108" w:type="dxa"/>
            <w:bottom w:w="0" w:type="dxa"/>
            <w:right w:w="108" w:type="dxa"/>
          </w:tblCellMar>
        </w:tblPrEx>
        <w:trPr>
          <w:trHeight w:val="48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E7DA">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注销日期</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BB1087">
            <w:pPr>
              <w:widowControl/>
              <w:jc w:val="left"/>
              <w:textAlignment w:val="center"/>
              <w:rPr>
                <w:rFonts w:ascii="宋体" w:hAnsi="宋体" w:cs="宋体"/>
                <w:color w:val="auto"/>
                <w:kern w:val="0"/>
                <w:sz w:val="21"/>
                <w:szCs w:val="21"/>
              </w:rPr>
            </w:pPr>
          </w:p>
        </w:tc>
      </w:tr>
      <w:tr w14:paraId="2F01F6C5">
        <w:tblPrEx>
          <w:tblCellMar>
            <w:top w:w="0" w:type="dxa"/>
            <w:left w:w="108" w:type="dxa"/>
            <w:bottom w:w="0" w:type="dxa"/>
            <w:right w:w="108" w:type="dxa"/>
          </w:tblCellMar>
        </w:tblPrEx>
        <w:trPr>
          <w:trHeight w:val="545" w:hRule="atLeast"/>
          <w:jc w:val="center"/>
        </w:trPr>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3611EE">
            <w:pPr>
              <w:widowControl/>
              <w:jc w:val="center"/>
              <w:textAlignment w:val="center"/>
              <w:rPr>
                <w:rFonts w:ascii="宋体" w:hAnsi="宋体" w:cs="宋体"/>
                <w:color w:val="auto"/>
                <w:sz w:val="21"/>
                <w:szCs w:val="21"/>
              </w:rPr>
            </w:pPr>
            <w:r>
              <w:rPr>
                <w:rFonts w:hint="eastAsia" w:ascii="宋体" w:hAnsi="宋体" w:cs="宋体"/>
                <w:b/>
                <w:bCs/>
                <w:color w:val="auto"/>
                <w:kern w:val="0"/>
                <w:sz w:val="21"/>
                <w:szCs w:val="21"/>
              </w:rPr>
              <w:t>以下为参保人或指定受益人（法定继承人）填写</w:t>
            </w:r>
          </w:p>
        </w:tc>
      </w:tr>
      <w:tr w14:paraId="23D4EA7D">
        <w:tblPrEx>
          <w:tblCellMar>
            <w:top w:w="0" w:type="dxa"/>
            <w:left w:w="108" w:type="dxa"/>
            <w:bottom w:w="0" w:type="dxa"/>
            <w:right w:w="108" w:type="dxa"/>
          </w:tblCellMar>
        </w:tblPrEx>
        <w:trPr>
          <w:trHeight w:val="461"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F58">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姓  名</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88B3A0A">
            <w:pPr>
              <w:widowControl/>
              <w:jc w:val="center"/>
              <w:textAlignment w:val="center"/>
              <w:rPr>
                <w:rFonts w:ascii="宋体" w:hAnsi="宋体" w:cs="宋体"/>
                <w:color w:val="auto"/>
                <w:kern w:val="0"/>
                <w:sz w:val="21"/>
                <w:szCs w:val="21"/>
              </w:rPr>
            </w:pPr>
          </w:p>
        </w:tc>
        <w:tc>
          <w:tcPr>
            <w:tcW w:w="776" w:type="dxa"/>
            <w:tcBorders>
              <w:top w:val="single" w:color="000000" w:sz="4" w:space="0"/>
              <w:left w:val="single" w:color="000000" w:sz="4" w:space="0"/>
              <w:bottom w:val="single" w:color="000000" w:sz="4" w:space="0"/>
              <w:right w:val="nil"/>
            </w:tcBorders>
            <w:shd w:val="clear" w:color="auto" w:fill="auto"/>
            <w:vAlign w:val="center"/>
          </w:tcPr>
          <w:p w14:paraId="2C2F5E5F">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性别</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A3C93">
            <w:pPr>
              <w:widowControl/>
              <w:jc w:val="center"/>
              <w:textAlignment w:val="center"/>
              <w:rPr>
                <w:rFonts w:ascii="宋体" w:hAnsi="宋体" w:cs="宋体"/>
                <w:color w:val="auto"/>
                <w:kern w:val="0"/>
                <w:sz w:val="21"/>
                <w:szCs w:val="21"/>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70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9B41">
            <w:pPr>
              <w:widowControl/>
              <w:jc w:val="center"/>
              <w:textAlignment w:val="center"/>
              <w:rPr>
                <w:rFonts w:ascii="宋体" w:hAnsi="宋体" w:cs="宋体"/>
                <w:color w:val="auto"/>
                <w:kern w:val="0"/>
                <w:sz w:val="21"/>
                <w:szCs w:val="21"/>
              </w:rPr>
            </w:pPr>
          </w:p>
        </w:tc>
      </w:tr>
      <w:tr w14:paraId="766A6A8E">
        <w:tblPrEx>
          <w:tblCellMar>
            <w:top w:w="0" w:type="dxa"/>
            <w:left w:w="108" w:type="dxa"/>
            <w:bottom w:w="0" w:type="dxa"/>
            <w:right w:w="108" w:type="dxa"/>
          </w:tblCellMar>
        </w:tblPrEx>
        <w:trPr>
          <w:trHeight w:val="449"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40E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与参保人关系</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72FB3F">
            <w:pPr>
              <w:widowControl/>
              <w:jc w:val="center"/>
              <w:textAlignment w:val="center"/>
              <w:rPr>
                <w:rFonts w:ascii="宋体" w:hAnsi="宋体" w:cs="宋体"/>
                <w:color w:val="auto"/>
                <w:kern w:val="0"/>
                <w:sz w:val="21"/>
                <w:szCs w:val="21"/>
              </w:rPr>
            </w:pPr>
          </w:p>
        </w:tc>
      </w:tr>
      <w:tr w14:paraId="10B8BD0A">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148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5EE08F">
            <w:pPr>
              <w:widowControl/>
              <w:jc w:val="center"/>
              <w:textAlignment w:val="center"/>
              <w:rPr>
                <w:rFonts w:ascii="宋体" w:hAnsi="宋体" w:cs="宋体"/>
                <w:color w:val="auto"/>
                <w:kern w:val="0"/>
                <w:sz w:val="21"/>
                <w:szCs w:val="21"/>
              </w:rPr>
            </w:pPr>
          </w:p>
        </w:tc>
      </w:tr>
      <w:tr w14:paraId="1D997F6A">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88E">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F91BE">
            <w:pPr>
              <w:widowControl/>
              <w:jc w:val="center"/>
              <w:textAlignment w:val="center"/>
              <w:rPr>
                <w:rFonts w:ascii="宋体" w:hAnsi="宋体" w:cs="宋体"/>
                <w:color w:val="auto"/>
                <w:kern w:val="0"/>
                <w:sz w:val="21"/>
                <w:szCs w:val="21"/>
              </w:rPr>
            </w:pPr>
          </w:p>
        </w:tc>
      </w:tr>
      <w:tr w14:paraId="5C1807B0">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05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居住地址</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038C5F">
            <w:pPr>
              <w:widowControl/>
              <w:jc w:val="center"/>
              <w:textAlignment w:val="center"/>
              <w:rPr>
                <w:rFonts w:ascii="宋体" w:hAnsi="宋体" w:cs="宋体"/>
                <w:color w:val="auto"/>
                <w:kern w:val="0"/>
                <w:sz w:val="21"/>
                <w:szCs w:val="21"/>
              </w:rPr>
            </w:pPr>
          </w:p>
        </w:tc>
      </w:tr>
      <w:tr w14:paraId="56FBFD90">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0D7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银行账号</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A6D6D">
            <w:pPr>
              <w:widowControl/>
              <w:jc w:val="center"/>
              <w:textAlignment w:val="center"/>
              <w:rPr>
                <w:rFonts w:ascii="宋体" w:hAnsi="宋体" w:cs="宋体"/>
                <w:color w:val="auto"/>
                <w:kern w:val="0"/>
                <w:sz w:val="21"/>
                <w:szCs w:val="21"/>
              </w:rPr>
            </w:pPr>
          </w:p>
        </w:tc>
      </w:tr>
      <w:tr w14:paraId="30BE38EB">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E0A3">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银行名称</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1C19F1">
            <w:pPr>
              <w:widowControl/>
              <w:jc w:val="center"/>
              <w:textAlignment w:val="center"/>
              <w:rPr>
                <w:rFonts w:ascii="宋体" w:hAnsi="宋体" w:cs="宋体"/>
                <w:color w:val="auto"/>
                <w:kern w:val="0"/>
                <w:sz w:val="21"/>
                <w:szCs w:val="21"/>
              </w:rPr>
            </w:pPr>
          </w:p>
        </w:tc>
      </w:tr>
      <w:tr w14:paraId="1979798A">
        <w:tblPrEx>
          <w:tblCellMar>
            <w:top w:w="0" w:type="dxa"/>
            <w:left w:w="108" w:type="dxa"/>
            <w:bottom w:w="0" w:type="dxa"/>
            <w:right w:w="108" w:type="dxa"/>
          </w:tblCellMar>
        </w:tblPrEx>
        <w:trPr>
          <w:trHeight w:val="2654" w:hRule="atLeast"/>
          <w:jc w:val="center"/>
        </w:trPr>
        <w:tc>
          <w:tcPr>
            <w:tcW w:w="4320" w:type="dxa"/>
            <w:gridSpan w:val="4"/>
            <w:tcBorders>
              <w:top w:val="single" w:color="000000" w:sz="4" w:space="0"/>
              <w:left w:val="single" w:color="000000" w:sz="4" w:space="0"/>
              <w:bottom w:val="single" w:color="000000" w:sz="4" w:space="0"/>
              <w:right w:val="single" w:color="auto" w:sz="4" w:space="0"/>
            </w:tcBorders>
            <w:shd w:val="clear" w:color="auto" w:fill="auto"/>
          </w:tcPr>
          <w:p w14:paraId="3ACFDCC2">
            <w:pPr>
              <w:widowControl/>
              <w:jc w:val="center"/>
              <w:textAlignment w:val="center"/>
              <w:rPr>
                <w:rFonts w:ascii="宋体" w:hAnsi="宋体" w:cs="宋体"/>
                <w:color w:val="auto"/>
                <w:kern w:val="0"/>
                <w:sz w:val="21"/>
                <w:szCs w:val="21"/>
              </w:rPr>
            </w:pPr>
          </w:p>
          <w:p w14:paraId="281C3215">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申请人承诺：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以上填写内容真实无误，如不属实，自愿承担相应的法律责任。</w:t>
            </w:r>
          </w:p>
          <w:p w14:paraId="210B736C">
            <w:pPr>
              <w:widowControl/>
              <w:jc w:val="left"/>
              <w:textAlignment w:val="center"/>
              <w:rPr>
                <w:rFonts w:ascii="宋体" w:hAnsi="宋体" w:cs="宋体"/>
                <w:color w:val="auto"/>
                <w:kern w:val="0"/>
                <w:sz w:val="21"/>
                <w:szCs w:val="21"/>
              </w:rPr>
            </w:pPr>
          </w:p>
          <w:p w14:paraId="02B10724">
            <w:pPr>
              <w:widowControl/>
              <w:jc w:val="left"/>
              <w:textAlignment w:val="center"/>
              <w:rPr>
                <w:rFonts w:ascii="宋体" w:hAnsi="宋体" w:cs="宋体"/>
                <w:color w:val="auto"/>
                <w:kern w:val="0"/>
                <w:sz w:val="21"/>
                <w:szCs w:val="21"/>
              </w:rPr>
            </w:pPr>
          </w:p>
          <w:p w14:paraId="3014D185">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申请人：   年   月   日（签章）</w:t>
            </w:r>
          </w:p>
        </w:tc>
        <w:tc>
          <w:tcPr>
            <w:tcW w:w="4863" w:type="dxa"/>
            <w:gridSpan w:val="3"/>
            <w:tcBorders>
              <w:top w:val="single" w:color="000000" w:sz="4" w:space="0"/>
              <w:left w:val="single" w:color="auto" w:sz="4" w:space="0"/>
              <w:bottom w:val="single" w:color="000000" w:sz="4" w:space="0"/>
              <w:right w:val="single" w:color="000000" w:sz="4" w:space="0"/>
            </w:tcBorders>
            <w:shd w:val="clear" w:color="auto" w:fill="auto"/>
          </w:tcPr>
          <w:p w14:paraId="59039338">
            <w:pPr>
              <w:widowControl/>
              <w:jc w:val="center"/>
              <w:textAlignment w:val="center"/>
              <w:rPr>
                <w:rFonts w:ascii="宋体" w:hAnsi="宋体" w:cs="宋体"/>
                <w:color w:val="auto"/>
                <w:kern w:val="0"/>
                <w:sz w:val="21"/>
                <w:szCs w:val="21"/>
              </w:rPr>
            </w:pPr>
          </w:p>
          <w:p w14:paraId="36C109FD">
            <w:pPr>
              <w:widowControl/>
              <w:jc w:val="center"/>
              <w:textAlignment w:val="center"/>
              <w:rPr>
                <w:rFonts w:ascii="宋体" w:hAnsi="宋体" w:cs="宋体"/>
                <w:color w:val="auto"/>
                <w:kern w:val="0"/>
                <w:sz w:val="21"/>
                <w:szCs w:val="21"/>
              </w:rPr>
            </w:pPr>
          </w:p>
          <w:p w14:paraId="29E42572">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乡镇（街道）服务中心或</w:t>
            </w:r>
          </w:p>
          <w:p w14:paraId="0E005EC9">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县社保机构意见：</w:t>
            </w:r>
            <w:r>
              <w:rPr>
                <w:rFonts w:hint="eastAsia" w:ascii="宋体" w:hAnsi="宋体" w:cs="宋体"/>
                <w:color w:val="auto"/>
                <w:kern w:val="0"/>
                <w:sz w:val="21"/>
                <w:szCs w:val="21"/>
              </w:rPr>
              <w:br w:type="textWrapping"/>
            </w:r>
          </w:p>
          <w:p w14:paraId="46D70F8C">
            <w:pPr>
              <w:widowControl/>
              <w:jc w:val="left"/>
              <w:textAlignment w:val="center"/>
              <w:rPr>
                <w:rFonts w:ascii="宋体" w:hAnsi="宋体" w:cs="宋体"/>
                <w:color w:val="auto"/>
                <w:kern w:val="0"/>
                <w:sz w:val="21"/>
                <w:szCs w:val="21"/>
              </w:rPr>
            </w:pPr>
          </w:p>
          <w:p w14:paraId="5498754C">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经办人：   年    月   日（签章）</w:t>
            </w:r>
          </w:p>
        </w:tc>
      </w:tr>
      <w:tr w14:paraId="627E0F04">
        <w:tblPrEx>
          <w:tblCellMar>
            <w:top w:w="0" w:type="dxa"/>
            <w:left w:w="108" w:type="dxa"/>
            <w:bottom w:w="0" w:type="dxa"/>
            <w:right w:w="108" w:type="dxa"/>
          </w:tblCellMar>
        </w:tblPrEx>
        <w:trPr>
          <w:trHeight w:val="800" w:hRule="atLeast"/>
          <w:jc w:val="center"/>
        </w:trPr>
        <w:tc>
          <w:tcPr>
            <w:tcW w:w="9183" w:type="dxa"/>
            <w:gridSpan w:val="7"/>
            <w:tcBorders>
              <w:top w:val="nil"/>
              <w:left w:val="nil"/>
              <w:bottom w:val="nil"/>
              <w:right w:val="nil"/>
            </w:tcBorders>
            <w:shd w:val="clear" w:color="auto" w:fill="auto"/>
          </w:tcPr>
          <w:p w14:paraId="263A3B00">
            <w:pPr>
              <w:widowControl/>
              <w:jc w:val="left"/>
              <w:textAlignment w:val="center"/>
              <w:rPr>
                <w:rFonts w:ascii="宋体" w:hAnsi="宋体" w:cs="宋体"/>
                <w:b/>
                <w:color w:val="auto"/>
                <w:kern w:val="0"/>
                <w:sz w:val="21"/>
                <w:szCs w:val="21"/>
              </w:rPr>
            </w:pPr>
          </w:p>
          <w:p w14:paraId="04B16A0B">
            <w:pPr>
              <w:widowControl/>
              <w:jc w:val="left"/>
              <w:textAlignment w:val="center"/>
              <w:rPr>
                <w:rFonts w:ascii="宋体" w:hAnsi="宋体" w:cs="宋体"/>
                <w:color w:val="auto"/>
                <w:kern w:val="0"/>
                <w:sz w:val="21"/>
                <w:szCs w:val="21"/>
              </w:rPr>
            </w:pPr>
            <w:r>
              <w:rPr>
                <w:rFonts w:hint="eastAsia" w:ascii="宋体" w:hAnsi="宋体" w:cs="宋体"/>
                <w:b/>
                <w:color w:val="auto"/>
                <w:kern w:val="0"/>
                <w:sz w:val="21"/>
                <w:szCs w:val="21"/>
              </w:rPr>
              <w:t>注：</w:t>
            </w:r>
            <w:r>
              <w:rPr>
                <w:rFonts w:hint="eastAsia" w:ascii="宋体" w:hAnsi="宋体" w:cs="宋体"/>
                <w:color w:val="auto"/>
                <w:kern w:val="0"/>
                <w:sz w:val="21"/>
                <w:szCs w:val="21"/>
              </w:rPr>
              <w:t>1.填写“注销原因”一栏时，请在相关选项“</w:t>
            </w:r>
            <w:r>
              <w:rPr>
                <w:rFonts w:ascii="宋体" w:hAnsi="宋体" w:cs="宋体"/>
                <w:color w:val="auto"/>
                <w:kern w:val="0"/>
                <w:sz w:val="21"/>
                <w:szCs w:val="21"/>
              </w:rPr>
              <w:t></w:t>
            </w:r>
            <w:r>
              <w:rPr>
                <w:rFonts w:hint="eastAsia" w:ascii="宋体" w:hAnsi="宋体" w:cs="宋体"/>
                <w:color w:val="auto"/>
                <w:kern w:val="0"/>
                <w:sz w:val="21"/>
                <w:szCs w:val="21"/>
              </w:rPr>
              <w:t>”内打“√”。</w:t>
            </w:r>
          </w:p>
          <w:p w14:paraId="0A9B9A57">
            <w:pPr>
              <w:widowControl/>
              <w:ind w:firstLine="420" w:firstLineChars="200"/>
              <w:jc w:val="left"/>
              <w:textAlignment w:val="center"/>
              <w:rPr>
                <w:rFonts w:ascii="宋体" w:hAnsi="宋体" w:cs="宋体"/>
                <w:color w:val="auto"/>
                <w:kern w:val="0"/>
                <w:sz w:val="21"/>
                <w:szCs w:val="21"/>
              </w:rPr>
            </w:pPr>
            <w:r>
              <w:rPr>
                <w:rFonts w:hint="eastAsia" w:ascii="宋体" w:hAnsi="宋体" w:cs="宋体"/>
                <w:color w:val="auto"/>
                <w:kern w:val="0"/>
                <w:sz w:val="21"/>
                <w:szCs w:val="21"/>
              </w:rPr>
              <w:t>2.线上服务渠道受理的，利用人脸识别等实名认证方式代替纸质签章。</w:t>
            </w:r>
          </w:p>
        </w:tc>
      </w:tr>
    </w:tbl>
    <w:p w14:paraId="78ED4932">
      <w:pPr>
        <w:rPr>
          <w:color w:val="auto"/>
        </w:r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p w14:paraId="3138AAB2">
      <w:pPr>
        <w:widowControl/>
        <w:jc w:val="left"/>
        <w:textAlignment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附件12</w:t>
      </w:r>
    </w:p>
    <w:p w14:paraId="0423C00B">
      <w:pPr>
        <w:widowControl/>
        <w:jc w:val="center"/>
        <w:textAlignment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居民基本养老保险关系跨省转入申请表</w:t>
      </w:r>
    </w:p>
    <w:tbl>
      <w:tblPr>
        <w:tblStyle w:val="8"/>
        <w:tblW w:w="13500" w:type="dxa"/>
        <w:tblInd w:w="93" w:type="dxa"/>
        <w:tblLayout w:type="fixed"/>
        <w:tblCellMar>
          <w:top w:w="0" w:type="dxa"/>
          <w:left w:w="108" w:type="dxa"/>
          <w:bottom w:w="0" w:type="dxa"/>
          <w:right w:w="108" w:type="dxa"/>
        </w:tblCellMar>
      </w:tblPr>
      <w:tblGrid>
        <w:gridCol w:w="1984"/>
        <w:gridCol w:w="3343"/>
        <w:gridCol w:w="1337"/>
        <w:gridCol w:w="1392"/>
        <w:gridCol w:w="1632"/>
        <w:gridCol w:w="3812"/>
      </w:tblGrid>
      <w:tr w14:paraId="6F78F482">
        <w:tblPrEx>
          <w:tblCellMar>
            <w:top w:w="0" w:type="dxa"/>
            <w:left w:w="108" w:type="dxa"/>
            <w:bottom w:w="0" w:type="dxa"/>
            <w:right w:w="108" w:type="dxa"/>
          </w:tblCellMar>
        </w:tblPrEx>
        <w:trPr>
          <w:trHeight w:val="285" w:hRule="atLeast"/>
        </w:trPr>
        <w:tc>
          <w:tcPr>
            <w:tcW w:w="6664" w:type="dxa"/>
            <w:gridSpan w:val="3"/>
            <w:tcBorders>
              <w:top w:val="nil"/>
              <w:left w:val="nil"/>
              <w:bottom w:val="nil"/>
              <w:right w:val="nil"/>
            </w:tcBorders>
            <w:shd w:val="clear" w:color="auto" w:fill="auto"/>
            <w:vAlign w:val="center"/>
          </w:tcPr>
          <w:p w14:paraId="60078063">
            <w:pPr>
              <w:jc w:val="center"/>
              <w:rPr>
                <w:rFonts w:ascii="宋体" w:hAnsi="宋体" w:cs="宋体"/>
                <w:color w:val="auto"/>
                <w:sz w:val="21"/>
                <w:szCs w:val="21"/>
              </w:rPr>
            </w:pPr>
          </w:p>
        </w:tc>
        <w:tc>
          <w:tcPr>
            <w:tcW w:w="1392" w:type="dxa"/>
            <w:tcBorders>
              <w:top w:val="nil"/>
              <w:left w:val="nil"/>
              <w:bottom w:val="nil"/>
              <w:right w:val="nil"/>
            </w:tcBorders>
            <w:shd w:val="clear" w:color="auto" w:fill="auto"/>
            <w:vAlign w:val="center"/>
          </w:tcPr>
          <w:p w14:paraId="5C074DB9">
            <w:pPr>
              <w:rPr>
                <w:rFonts w:ascii="宋体" w:hAnsi="宋体" w:cs="宋体"/>
                <w:color w:val="auto"/>
                <w:sz w:val="21"/>
                <w:szCs w:val="21"/>
              </w:rPr>
            </w:pPr>
          </w:p>
        </w:tc>
        <w:tc>
          <w:tcPr>
            <w:tcW w:w="1632" w:type="dxa"/>
            <w:tcBorders>
              <w:top w:val="nil"/>
              <w:left w:val="nil"/>
              <w:bottom w:val="nil"/>
              <w:right w:val="nil"/>
            </w:tcBorders>
            <w:shd w:val="clear" w:color="auto" w:fill="auto"/>
            <w:vAlign w:val="center"/>
          </w:tcPr>
          <w:p w14:paraId="29F06D13">
            <w:pPr>
              <w:rPr>
                <w:rFonts w:ascii="宋体" w:hAnsi="宋体" w:cs="宋体"/>
                <w:color w:val="auto"/>
                <w:sz w:val="21"/>
                <w:szCs w:val="21"/>
              </w:rPr>
            </w:pPr>
          </w:p>
        </w:tc>
        <w:tc>
          <w:tcPr>
            <w:tcW w:w="3812" w:type="dxa"/>
            <w:tcBorders>
              <w:top w:val="nil"/>
              <w:left w:val="nil"/>
              <w:bottom w:val="nil"/>
              <w:right w:val="nil"/>
            </w:tcBorders>
            <w:shd w:val="clear" w:color="auto" w:fill="auto"/>
            <w:vAlign w:val="center"/>
          </w:tcPr>
          <w:p w14:paraId="5CBABFC0">
            <w:pPr>
              <w:rPr>
                <w:rFonts w:ascii="宋体" w:hAnsi="宋体" w:cs="宋体"/>
                <w:color w:val="auto"/>
                <w:sz w:val="21"/>
                <w:szCs w:val="21"/>
              </w:rPr>
            </w:pPr>
          </w:p>
        </w:tc>
      </w:tr>
      <w:tr w14:paraId="5135A1DF">
        <w:tblPrEx>
          <w:tblCellMar>
            <w:top w:w="0" w:type="dxa"/>
            <w:left w:w="108" w:type="dxa"/>
            <w:bottom w:w="0" w:type="dxa"/>
            <w:right w:w="108" w:type="dxa"/>
          </w:tblCellMar>
        </w:tblPrEx>
        <w:trPr>
          <w:trHeight w:val="520" w:hRule="atLeast"/>
        </w:trPr>
        <w:tc>
          <w:tcPr>
            <w:tcW w:w="13500" w:type="dxa"/>
            <w:gridSpan w:val="6"/>
            <w:tcBorders>
              <w:top w:val="nil"/>
              <w:left w:val="nil"/>
              <w:bottom w:val="nil"/>
              <w:right w:val="nil"/>
            </w:tcBorders>
            <w:shd w:val="clear" w:color="auto" w:fill="auto"/>
            <w:vAlign w:val="center"/>
          </w:tcPr>
          <w:p w14:paraId="7E479134">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 xml:space="preserve">                                                              </w:t>
            </w:r>
            <w:r>
              <w:rPr>
                <w:rFonts w:ascii="宋体" w:hAnsi="宋体" w:cs="宋体"/>
                <w:color w:val="auto"/>
                <w:kern w:val="0"/>
                <w:sz w:val="21"/>
                <w:szCs w:val="21"/>
              </w:rPr>
              <w:t xml:space="preserve">                   </w:t>
            </w:r>
            <w:r>
              <w:rPr>
                <w:rFonts w:hint="eastAsia" w:ascii="宋体" w:hAnsi="宋体" w:cs="宋体"/>
                <w:color w:val="auto"/>
                <w:kern w:val="0"/>
                <w:sz w:val="21"/>
                <w:szCs w:val="21"/>
              </w:rPr>
              <w:t xml:space="preserve">填表日期：     年     月      日    </w:t>
            </w:r>
          </w:p>
        </w:tc>
      </w:tr>
      <w:tr w14:paraId="43C7BE8B">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336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姓  名</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651">
            <w:pPr>
              <w:widowControl/>
              <w:jc w:val="center"/>
              <w:textAlignment w:val="center"/>
              <w:rPr>
                <w:rFonts w:ascii="宋体" w:hAnsi="宋体" w:cs="宋体"/>
                <w:color w:val="auto"/>
                <w:kern w:val="0"/>
                <w:sz w:val="21"/>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F22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性别</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6D5C">
            <w:pPr>
              <w:widowControl/>
              <w:jc w:val="center"/>
              <w:textAlignment w:val="center"/>
              <w:rPr>
                <w:rFonts w:ascii="宋体" w:hAnsi="宋体" w:cs="宋体"/>
                <w:color w:val="auto"/>
                <w:kern w:val="0"/>
                <w:sz w:val="21"/>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39E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出生年月</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C9AC">
            <w:pPr>
              <w:widowControl/>
              <w:jc w:val="center"/>
              <w:textAlignment w:val="center"/>
              <w:rPr>
                <w:rFonts w:ascii="宋体" w:hAnsi="宋体" w:cs="宋体"/>
                <w:color w:val="auto"/>
                <w:kern w:val="0"/>
                <w:sz w:val="21"/>
                <w:szCs w:val="21"/>
              </w:rPr>
            </w:pPr>
          </w:p>
        </w:tc>
      </w:tr>
      <w:tr w14:paraId="4BB880D1">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873A">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D2895">
            <w:pPr>
              <w:widowControl/>
              <w:jc w:val="center"/>
              <w:textAlignment w:val="center"/>
              <w:rPr>
                <w:rFonts w:ascii="宋体" w:hAnsi="宋体" w:cs="宋体"/>
                <w:color w:val="auto"/>
                <w:kern w:val="0"/>
                <w:sz w:val="21"/>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573">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6D1">
            <w:pPr>
              <w:widowControl/>
              <w:jc w:val="center"/>
              <w:textAlignment w:val="center"/>
              <w:rPr>
                <w:rFonts w:ascii="宋体" w:hAnsi="宋体" w:cs="宋体"/>
                <w:color w:val="auto"/>
                <w:kern w:val="0"/>
                <w:sz w:val="21"/>
                <w:szCs w:val="21"/>
              </w:rPr>
            </w:pPr>
          </w:p>
        </w:tc>
      </w:tr>
      <w:tr w14:paraId="256A7A7E">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3DD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居住地址</w:t>
            </w:r>
          </w:p>
        </w:tc>
        <w:tc>
          <w:tcPr>
            <w:tcW w:w="11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ACE1B">
            <w:pPr>
              <w:widowControl/>
              <w:jc w:val="center"/>
              <w:textAlignment w:val="center"/>
              <w:rPr>
                <w:rFonts w:ascii="宋体" w:hAnsi="宋体" w:cs="宋体"/>
                <w:color w:val="auto"/>
                <w:kern w:val="0"/>
                <w:sz w:val="21"/>
                <w:szCs w:val="21"/>
              </w:rPr>
            </w:pPr>
          </w:p>
        </w:tc>
      </w:tr>
      <w:tr w14:paraId="7709749B">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auto" w:sz="4" w:space="0"/>
              <w:right w:val="single" w:color="000000" w:sz="4" w:space="0"/>
            </w:tcBorders>
            <w:shd w:val="clear" w:color="auto" w:fill="auto"/>
            <w:vAlign w:val="center"/>
          </w:tcPr>
          <w:p w14:paraId="24EEF2A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原户籍地地址</w:t>
            </w:r>
          </w:p>
        </w:tc>
        <w:tc>
          <w:tcPr>
            <w:tcW w:w="11516"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785B3DD3">
            <w:pPr>
              <w:widowControl/>
              <w:jc w:val="center"/>
              <w:textAlignment w:val="center"/>
              <w:rPr>
                <w:rFonts w:ascii="宋体" w:hAnsi="宋体" w:cs="宋体"/>
                <w:color w:val="auto"/>
                <w:kern w:val="0"/>
                <w:sz w:val="21"/>
                <w:szCs w:val="21"/>
              </w:rPr>
            </w:pPr>
          </w:p>
        </w:tc>
      </w:tr>
      <w:tr w14:paraId="3DDC2356">
        <w:tblPrEx>
          <w:tblCellMar>
            <w:top w:w="0" w:type="dxa"/>
            <w:left w:w="108" w:type="dxa"/>
            <w:bottom w:w="0" w:type="dxa"/>
            <w:right w:w="108" w:type="dxa"/>
          </w:tblCellMar>
        </w:tblPrEx>
        <w:trPr>
          <w:trHeight w:val="520" w:hRule="atLeast"/>
        </w:trPr>
        <w:tc>
          <w:tcPr>
            <w:tcW w:w="1984" w:type="dxa"/>
            <w:tcBorders>
              <w:top w:val="single" w:color="auto" w:sz="4" w:space="0"/>
              <w:left w:val="single" w:color="auto" w:sz="4" w:space="0"/>
              <w:bottom w:val="single" w:color="auto" w:sz="4" w:space="0"/>
              <w:right w:val="single" w:color="000000" w:sz="4" w:space="0"/>
            </w:tcBorders>
            <w:shd w:val="clear" w:color="auto" w:fill="auto"/>
            <w:vAlign w:val="center"/>
          </w:tcPr>
          <w:p w14:paraId="423395B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现户籍地地址</w:t>
            </w:r>
          </w:p>
        </w:tc>
        <w:tc>
          <w:tcPr>
            <w:tcW w:w="11516"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14:paraId="7C96D61F">
            <w:pPr>
              <w:widowControl/>
              <w:jc w:val="center"/>
              <w:textAlignment w:val="center"/>
              <w:rPr>
                <w:rFonts w:ascii="宋体" w:hAnsi="宋体" w:cs="宋体"/>
                <w:color w:val="auto"/>
                <w:kern w:val="0"/>
                <w:sz w:val="21"/>
                <w:szCs w:val="21"/>
              </w:rPr>
            </w:pPr>
          </w:p>
        </w:tc>
      </w:tr>
      <w:tr w14:paraId="230E7EF8">
        <w:tblPrEx>
          <w:tblCellMar>
            <w:top w:w="0" w:type="dxa"/>
            <w:left w:w="108" w:type="dxa"/>
            <w:bottom w:w="0" w:type="dxa"/>
            <w:right w:w="108" w:type="dxa"/>
          </w:tblCellMar>
        </w:tblPrEx>
        <w:trPr>
          <w:trHeight w:val="520" w:hRule="atLeast"/>
        </w:trPr>
        <w:tc>
          <w:tcPr>
            <w:tcW w:w="13500" w:type="dxa"/>
            <w:gridSpan w:val="6"/>
            <w:tcBorders>
              <w:top w:val="single" w:color="auto" w:sz="4" w:space="0"/>
              <w:left w:val="nil"/>
              <w:bottom w:val="nil"/>
              <w:right w:val="nil"/>
            </w:tcBorders>
            <w:shd w:val="clear" w:color="auto" w:fill="auto"/>
            <w:vAlign w:val="center"/>
          </w:tcPr>
          <w:p w14:paraId="0B3DD356">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申请人（签章）：                            年     月     日</w:t>
            </w:r>
          </w:p>
        </w:tc>
      </w:tr>
      <w:tr w14:paraId="19DD86CE">
        <w:tblPrEx>
          <w:tblCellMar>
            <w:top w:w="0" w:type="dxa"/>
            <w:left w:w="108" w:type="dxa"/>
            <w:bottom w:w="0" w:type="dxa"/>
            <w:right w:w="108" w:type="dxa"/>
          </w:tblCellMar>
        </w:tblPrEx>
        <w:trPr>
          <w:trHeight w:val="520" w:hRule="atLeast"/>
        </w:trPr>
        <w:tc>
          <w:tcPr>
            <w:tcW w:w="13500" w:type="dxa"/>
            <w:gridSpan w:val="6"/>
            <w:tcBorders>
              <w:top w:val="nil"/>
              <w:left w:val="nil"/>
              <w:bottom w:val="nil"/>
              <w:right w:val="nil"/>
            </w:tcBorders>
            <w:shd w:val="clear" w:color="auto" w:fill="auto"/>
            <w:vAlign w:val="center"/>
          </w:tcPr>
          <w:p w14:paraId="7061E8A1">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县级社保机构审核（签章）：                  年     月     日               （公章）</w:t>
            </w:r>
          </w:p>
        </w:tc>
      </w:tr>
      <w:tr w14:paraId="75434B72">
        <w:tblPrEx>
          <w:tblCellMar>
            <w:top w:w="0" w:type="dxa"/>
            <w:left w:w="108" w:type="dxa"/>
            <w:bottom w:w="0" w:type="dxa"/>
            <w:right w:w="108" w:type="dxa"/>
          </w:tblCellMar>
        </w:tblPrEx>
        <w:trPr>
          <w:trHeight w:val="520" w:hRule="atLeast"/>
        </w:trPr>
        <w:tc>
          <w:tcPr>
            <w:tcW w:w="13500" w:type="dxa"/>
            <w:gridSpan w:val="6"/>
            <w:tcBorders>
              <w:top w:val="nil"/>
              <w:left w:val="nil"/>
              <w:bottom w:val="nil"/>
              <w:right w:val="nil"/>
            </w:tcBorders>
            <w:shd w:val="clear" w:color="auto" w:fill="auto"/>
            <w:vAlign w:val="center"/>
          </w:tcPr>
          <w:p w14:paraId="5D72D01A">
            <w:pPr>
              <w:widowControl/>
              <w:jc w:val="left"/>
              <w:textAlignment w:val="center"/>
              <w:rPr>
                <w:rFonts w:ascii="宋体" w:hAnsi="宋体" w:cs="宋体"/>
                <w:color w:val="auto"/>
                <w:kern w:val="0"/>
                <w:sz w:val="21"/>
                <w:szCs w:val="21"/>
              </w:rPr>
            </w:pPr>
            <w:r>
              <w:rPr>
                <w:rFonts w:hint="eastAsia" w:ascii="宋体" w:hAnsi="宋体" w:cs="宋体"/>
                <w:b/>
                <w:color w:val="auto"/>
                <w:kern w:val="0"/>
                <w:sz w:val="21"/>
                <w:szCs w:val="21"/>
              </w:rPr>
              <w:t>注：</w:t>
            </w:r>
            <w:r>
              <w:rPr>
                <w:rFonts w:hint="eastAsia" w:ascii="宋体" w:hAnsi="宋体" w:cs="宋体"/>
                <w:color w:val="auto"/>
                <w:kern w:val="0"/>
                <w:sz w:val="21"/>
                <w:szCs w:val="21"/>
              </w:rPr>
              <w:t>线上服务渠道受理的，利用人脸识别等实名认证方式代替纸质签章。</w:t>
            </w:r>
          </w:p>
        </w:tc>
      </w:tr>
    </w:tbl>
    <w:p w14:paraId="2ACCBC6E">
      <w:pPr>
        <w:rPr>
          <w:color w:val="auto"/>
        </w:rPr>
      </w:pPr>
    </w:p>
    <w:p w14:paraId="4F799159">
      <w:pPr>
        <w:rPr>
          <w:rFonts w:ascii="黑体" w:hAnsi="黑体" w:eastAsia="黑体" w:cs="黑体"/>
          <w:color w:val="auto"/>
          <w:kern w:val="0"/>
          <w:sz w:val="32"/>
          <w:szCs w:val="32"/>
        </w:rPr>
      </w:pPr>
      <w:r>
        <w:rPr>
          <w:rFonts w:hint="eastAsia" w:ascii="黑体" w:hAnsi="黑体" w:eastAsia="黑体" w:cs="黑体"/>
          <w:color w:val="auto"/>
          <w:kern w:val="0"/>
          <w:sz w:val="32"/>
          <w:szCs w:val="32"/>
        </w:rPr>
        <w:br w:type="page"/>
      </w:r>
    </w:p>
    <w:p w14:paraId="20C7043E">
      <w:pPr>
        <w:rPr>
          <w:color w:val="auto"/>
        </w:rPr>
      </w:pPr>
      <w:r>
        <w:rPr>
          <w:rFonts w:hint="eastAsia" w:ascii="黑体" w:hAnsi="黑体" w:eastAsia="黑体" w:cs="黑体"/>
          <w:color w:val="auto"/>
          <w:kern w:val="0"/>
          <w:sz w:val="32"/>
          <w:szCs w:val="32"/>
        </w:rPr>
        <w:t>附件13</w:t>
      </w:r>
    </w:p>
    <w:tbl>
      <w:tblPr>
        <w:tblStyle w:val="8"/>
        <w:tblW w:w="13425" w:type="dxa"/>
        <w:tblInd w:w="273" w:type="dxa"/>
        <w:tblLayout w:type="fixed"/>
        <w:tblCellMar>
          <w:top w:w="0" w:type="dxa"/>
          <w:left w:w="108" w:type="dxa"/>
          <w:bottom w:w="0" w:type="dxa"/>
          <w:right w:w="108" w:type="dxa"/>
        </w:tblCellMar>
      </w:tblPr>
      <w:tblGrid>
        <w:gridCol w:w="1259"/>
        <w:gridCol w:w="4666"/>
        <w:gridCol w:w="1884"/>
        <w:gridCol w:w="669"/>
        <w:gridCol w:w="1212"/>
        <w:gridCol w:w="3735"/>
      </w:tblGrid>
      <w:tr w14:paraId="6C4E323D">
        <w:tblPrEx>
          <w:tblCellMar>
            <w:top w:w="0" w:type="dxa"/>
            <w:left w:w="108" w:type="dxa"/>
            <w:bottom w:w="0" w:type="dxa"/>
            <w:right w:w="108" w:type="dxa"/>
          </w:tblCellMar>
        </w:tblPrEx>
        <w:trPr>
          <w:trHeight w:val="1566" w:hRule="atLeast"/>
        </w:trPr>
        <w:tc>
          <w:tcPr>
            <w:tcW w:w="13425" w:type="dxa"/>
            <w:gridSpan w:val="6"/>
            <w:tcBorders>
              <w:top w:val="single" w:color="000000" w:sz="4" w:space="0"/>
              <w:left w:val="single" w:color="000000" w:sz="4" w:space="0"/>
              <w:bottom w:val="nil"/>
              <w:right w:val="single" w:color="000000" w:sz="4" w:space="0"/>
            </w:tcBorders>
            <w:vAlign w:val="center"/>
          </w:tcPr>
          <w:p w14:paraId="48D20320">
            <w:pPr>
              <w:widowControl/>
              <w:spacing w:line="560" w:lineRule="exact"/>
              <w:jc w:val="center"/>
              <w:textAlignment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居民基本养老保险关系跨省转入</w:t>
            </w:r>
          </w:p>
          <w:p w14:paraId="5E985529">
            <w:pPr>
              <w:widowControl/>
              <w:spacing w:line="560" w:lineRule="exact"/>
              <w:jc w:val="center"/>
              <w:textAlignment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rPr>
              <w:t>接 收 函</w:t>
            </w:r>
          </w:p>
        </w:tc>
      </w:tr>
      <w:tr w14:paraId="4CDD57C4">
        <w:tblPrEx>
          <w:tblCellMar>
            <w:top w:w="0" w:type="dxa"/>
            <w:left w:w="108" w:type="dxa"/>
            <w:bottom w:w="0" w:type="dxa"/>
            <w:right w:w="108" w:type="dxa"/>
          </w:tblCellMar>
        </w:tblPrEx>
        <w:trPr>
          <w:trHeight w:val="435" w:hRule="atLeast"/>
        </w:trPr>
        <w:tc>
          <w:tcPr>
            <w:tcW w:w="13425" w:type="dxa"/>
            <w:gridSpan w:val="6"/>
            <w:tcBorders>
              <w:top w:val="nil"/>
              <w:left w:val="single" w:color="000000" w:sz="4" w:space="0"/>
              <w:bottom w:val="nil"/>
              <w:right w:val="single" w:color="000000" w:sz="4" w:space="0"/>
            </w:tcBorders>
            <w:vAlign w:val="center"/>
          </w:tcPr>
          <w:p w14:paraId="12E671F0">
            <w:pPr>
              <w:widowControl/>
              <w:spacing w:line="300" w:lineRule="exact"/>
              <w:jc w:val="center"/>
              <w:textAlignment w:val="center"/>
              <w:rPr>
                <w:rFonts w:ascii="黑体" w:hAnsi="宋体" w:eastAsia="黑体" w:cs="黑体"/>
                <w:color w:val="auto"/>
                <w:sz w:val="24"/>
              </w:rPr>
            </w:pPr>
            <w:r>
              <w:rPr>
                <w:rFonts w:hint="eastAsia" w:ascii="黑体" w:hAnsi="宋体" w:eastAsia="黑体" w:cs="黑体"/>
                <w:color w:val="auto"/>
                <w:kern w:val="0"/>
                <w:sz w:val="24"/>
              </w:rPr>
              <w:t>转入函字〔    〕第   号</w:t>
            </w:r>
          </w:p>
        </w:tc>
      </w:tr>
      <w:tr w14:paraId="7B9E456F">
        <w:tblPrEx>
          <w:tblCellMar>
            <w:top w:w="0" w:type="dxa"/>
            <w:left w:w="108" w:type="dxa"/>
            <w:bottom w:w="0" w:type="dxa"/>
            <w:right w:w="108" w:type="dxa"/>
          </w:tblCellMar>
        </w:tblPrEx>
        <w:trPr>
          <w:trHeight w:val="405" w:hRule="atLeast"/>
        </w:trPr>
        <w:tc>
          <w:tcPr>
            <w:tcW w:w="13425" w:type="dxa"/>
            <w:gridSpan w:val="6"/>
            <w:tcBorders>
              <w:top w:val="nil"/>
              <w:left w:val="single" w:color="000000" w:sz="4" w:space="0"/>
              <w:bottom w:val="nil"/>
              <w:right w:val="single" w:color="000000" w:sz="4" w:space="0"/>
            </w:tcBorders>
            <w:vAlign w:val="center"/>
          </w:tcPr>
          <w:p w14:paraId="149D515F">
            <w:pPr>
              <w:widowControl/>
              <w:spacing w:line="300" w:lineRule="exact"/>
              <w:jc w:val="left"/>
              <w:textAlignment w:val="center"/>
              <w:rPr>
                <w:rFonts w:ascii="宋体" w:hAnsi="宋体" w:cs="宋体"/>
                <w:color w:val="auto"/>
                <w:sz w:val="22"/>
                <w:szCs w:val="22"/>
                <w:u w:val="single"/>
              </w:rPr>
            </w:pPr>
            <w:r>
              <w:rPr>
                <w:rFonts w:hint="eastAsia" w:ascii="宋体" w:hAnsi="宋体" w:cs="宋体"/>
                <w:color w:val="auto"/>
                <w:kern w:val="0"/>
                <w:sz w:val="22"/>
                <w:szCs w:val="22"/>
                <w:u w:val="single"/>
              </w:rPr>
              <w:t xml:space="preserve">                 ：</w:t>
            </w:r>
          </w:p>
        </w:tc>
      </w:tr>
      <w:tr w14:paraId="419047D8">
        <w:tblPrEx>
          <w:tblCellMar>
            <w:top w:w="0" w:type="dxa"/>
            <w:left w:w="108" w:type="dxa"/>
            <w:bottom w:w="0" w:type="dxa"/>
            <w:right w:w="108" w:type="dxa"/>
          </w:tblCellMar>
        </w:tblPrEx>
        <w:trPr>
          <w:trHeight w:val="312" w:hRule="atLeast"/>
        </w:trPr>
        <w:tc>
          <w:tcPr>
            <w:tcW w:w="13425" w:type="dxa"/>
            <w:gridSpan w:val="6"/>
            <w:vMerge w:val="restart"/>
            <w:tcBorders>
              <w:top w:val="nil"/>
              <w:left w:val="single" w:color="000000" w:sz="4" w:space="0"/>
              <w:bottom w:val="single" w:color="000000" w:sz="4" w:space="0"/>
              <w:right w:val="single" w:color="000000" w:sz="4" w:space="0"/>
            </w:tcBorders>
            <w:vAlign w:val="center"/>
          </w:tcPr>
          <w:p w14:paraId="625D2061">
            <w:pPr>
              <w:widowControl/>
              <w:spacing w:line="300" w:lineRule="exact"/>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    经审核，同意将</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的养老保险关系转入我县（市、区），请予办理相关手续：</w:t>
            </w:r>
          </w:p>
        </w:tc>
      </w:tr>
      <w:tr w14:paraId="05D5A61B">
        <w:tblPrEx>
          <w:tblCellMar>
            <w:top w:w="0" w:type="dxa"/>
            <w:left w:w="108" w:type="dxa"/>
            <w:bottom w:w="0" w:type="dxa"/>
            <w:right w:w="108" w:type="dxa"/>
          </w:tblCellMar>
        </w:tblPrEx>
        <w:trPr>
          <w:trHeight w:val="312" w:hRule="atLeast"/>
        </w:trPr>
        <w:tc>
          <w:tcPr>
            <w:tcW w:w="13425" w:type="dxa"/>
            <w:gridSpan w:val="6"/>
            <w:vMerge w:val="continue"/>
            <w:tcBorders>
              <w:top w:val="nil"/>
              <w:left w:val="single" w:color="000000" w:sz="4" w:space="0"/>
              <w:bottom w:val="single" w:color="000000" w:sz="4" w:space="0"/>
              <w:right w:val="single" w:color="000000" w:sz="4" w:space="0"/>
            </w:tcBorders>
            <w:vAlign w:val="center"/>
          </w:tcPr>
          <w:p w14:paraId="11CFD742">
            <w:pPr>
              <w:spacing w:line="300" w:lineRule="exact"/>
              <w:jc w:val="left"/>
              <w:rPr>
                <w:rFonts w:ascii="宋体" w:hAnsi="宋体" w:cs="宋体"/>
                <w:color w:val="auto"/>
                <w:sz w:val="21"/>
                <w:szCs w:val="21"/>
              </w:rPr>
            </w:pPr>
          </w:p>
        </w:tc>
      </w:tr>
      <w:tr w14:paraId="29D111D6">
        <w:tblPrEx>
          <w:tblCellMar>
            <w:top w:w="0" w:type="dxa"/>
            <w:left w:w="108" w:type="dxa"/>
            <w:bottom w:w="0" w:type="dxa"/>
            <w:right w:w="108" w:type="dxa"/>
          </w:tblCellMar>
        </w:tblPrEx>
        <w:trPr>
          <w:trHeight w:val="446" w:hRule="atLeast"/>
        </w:trPr>
        <w:tc>
          <w:tcPr>
            <w:tcW w:w="1259" w:type="dxa"/>
            <w:tcBorders>
              <w:top w:val="single" w:color="000000" w:sz="4" w:space="0"/>
              <w:left w:val="single" w:color="000000" w:sz="4" w:space="0"/>
              <w:bottom w:val="single" w:color="000000" w:sz="4" w:space="0"/>
              <w:right w:val="single" w:color="000000" w:sz="4" w:space="0"/>
            </w:tcBorders>
            <w:vAlign w:val="center"/>
          </w:tcPr>
          <w:p w14:paraId="14BEE672">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4666" w:type="dxa"/>
            <w:tcBorders>
              <w:top w:val="single" w:color="000000" w:sz="4" w:space="0"/>
              <w:left w:val="single" w:color="000000" w:sz="4" w:space="0"/>
              <w:bottom w:val="single" w:color="000000" w:sz="4" w:space="0"/>
              <w:right w:val="single" w:color="000000" w:sz="4" w:space="0"/>
            </w:tcBorders>
            <w:vAlign w:val="center"/>
          </w:tcPr>
          <w:p w14:paraId="55C8DC63">
            <w:pPr>
              <w:widowControl/>
              <w:spacing w:line="300" w:lineRule="exact"/>
              <w:jc w:val="left"/>
              <w:textAlignment w:val="center"/>
              <w:rPr>
                <w:rFonts w:ascii="宋体" w:hAnsi="宋体" w:cs="宋体"/>
                <w:color w:val="auto"/>
                <w:sz w:val="21"/>
                <w:szCs w:val="21"/>
              </w:rPr>
            </w:pPr>
          </w:p>
        </w:tc>
        <w:tc>
          <w:tcPr>
            <w:tcW w:w="1884" w:type="dxa"/>
            <w:tcBorders>
              <w:top w:val="single" w:color="000000" w:sz="4" w:space="0"/>
              <w:left w:val="single" w:color="000000" w:sz="4" w:space="0"/>
              <w:bottom w:val="single" w:color="000000" w:sz="4" w:space="0"/>
              <w:right w:val="single" w:color="000000" w:sz="4" w:space="0"/>
            </w:tcBorders>
            <w:vAlign w:val="center"/>
          </w:tcPr>
          <w:p w14:paraId="465E2140">
            <w:pPr>
              <w:spacing w:line="300" w:lineRule="exact"/>
              <w:jc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5616" w:type="dxa"/>
            <w:gridSpan w:val="3"/>
            <w:tcBorders>
              <w:top w:val="single" w:color="000000" w:sz="4" w:space="0"/>
              <w:left w:val="single" w:color="000000" w:sz="4" w:space="0"/>
              <w:bottom w:val="single" w:color="000000" w:sz="4" w:space="0"/>
              <w:right w:val="single" w:color="000000" w:sz="4" w:space="0"/>
            </w:tcBorders>
            <w:vAlign w:val="center"/>
          </w:tcPr>
          <w:p w14:paraId="3757390B">
            <w:pPr>
              <w:spacing w:line="300" w:lineRule="exact"/>
              <w:jc w:val="left"/>
              <w:rPr>
                <w:rFonts w:ascii="宋体" w:hAnsi="宋体" w:cs="宋体"/>
                <w:color w:val="auto"/>
                <w:kern w:val="0"/>
                <w:sz w:val="21"/>
                <w:szCs w:val="21"/>
              </w:rPr>
            </w:pPr>
          </w:p>
        </w:tc>
      </w:tr>
      <w:tr w14:paraId="5CE06670">
        <w:tblPrEx>
          <w:tblCellMar>
            <w:top w:w="0" w:type="dxa"/>
            <w:left w:w="108" w:type="dxa"/>
            <w:bottom w:w="0" w:type="dxa"/>
            <w:right w:w="108" w:type="dxa"/>
          </w:tblCellMar>
        </w:tblPrEx>
        <w:trPr>
          <w:trHeight w:val="434" w:hRule="atLeast"/>
        </w:trPr>
        <w:tc>
          <w:tcPr>
            <w:tcW w:w="1259" w:type="dxa"/>
            <w:tcBorders>
              <w:top w:val="single" w:color="000000" w:sz="4" w:space="0"/>
              <w:left w:val="single" w:color="000000" w:sz="4" w:space="0"/>
              <w:bottom w:val="single" w:color="000000" w:sz="4" w:space="0"/>
              <w:right w:val="single" w:color="000000" w:sz="4" w:space="0"/>
            </w:tcBorders>
            <w:vAlign w:val="center"/>
          </w:tcPr>
          <w:p w14:paraId="71828887">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性别</w:t>
            </w:r>
          </w:p>
        </w:tc>
        <w:tc>
          <w:tcPr>
            <w:tcW w:w="4666" w:type="dxa"/>
            <w:tcBorders>
              <w:top w:val="single" w:color="000000" w:sz="4" w:space="0"/>
              <w:left w:val="single" w:color="000000" w:sz="4" w:space="0"/>
              <w:bottom w:val="single" w:color="000000" w:sz="4" w:space="0"/>
              <w:right w:val="single" w:color="000000" w:sz="4" w:space="0"/>
            </w:tcBorders>
            <w:vAlign w:val="center"/>
          </w:tcPr>
          <w:p w14:paraId="3C1BF23A">
            <w:pPr>
              <w:spacing w:line="300" w:lineRule="exact"/>
              <w:jc w:val="center"/>
              <w:rPr>
                <w:rFonts w:ascii="宋体" w:hAnsi="宋体" w:cs="宋体"/>
                <w:color w:val="auto"/>
                <w:sz w:val="21"/>
                <w:szCs w:val="21"/>
              </w:rPr>
            </w:pPr>
          </w:p>
        </w:tc>
        <w:tc>
          <w:tcPr>
            <w:tcW w:w="1884" w:type="dxa"/>
            <w:tcBorders>
              <w:top w:val="single" w:color="000000" w:sz="4" w:space="0"/>
              <w:left w:val="single" w:color="000000" w:sz="4" w:space="0"/>
              <w:bottom w:val="single" w:color="000000" w:sz="4" w:space="0"/>
              <w:right w:val="single" w:color="000000" w:sz="4" w:space="0"/>
            </w:tcBorders>
            <w:vAlign w:val="center"/>
          </w:tcPr>
          <w:p w14:paraId="1690BF6A">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5616" w:type="dxa"/>
            <w:gridSpan w:val="3"/>
            <w:tcBorders>
              <w:top w:val="single" w:color="000000" w:sz="4" w:space="0"/>
              <w:left w:val="single" w:color="000000" w:sz="4" w:space="0"/>
              <w:bottom w:val="single" w:color="000000" w:sz="4" w:space="0"/>
              <w:right w:val="single" w:color="000000" w:sz="4" w:space="0"/>
            </w:tcBorders>
            <w:vAlign w:val="center"/>
          </w:tcPr>
          <w:p w14:paraId="3B627735">
            <w:pPr>
              <w:widowControl/>
              <w:spacing w:line="300" w:lineRule="exact"/>
              <w:jc w:val="center"/>
              <w:textAlignment w:val="center"/>
              <w:rPr>
                <w:rFonts w:ascii="宋体" w:hAnsi="宋体" w:cs="宋体"/>
                <w:color w:val="auto"/>
                <w:sz w:val="21"/>
                <w:szCs w:val="21"/>
              </w:rPr>
            </w:pPr>
          </w:p>
        </w:tc>
      </w:tr>
      <w:tr w14:paraId="4964C077">
        <w:tblPrEx>
          <w:tblCellMar>
            <w:top w:w="0" w:type="dxa"/>
            <w:left w:w="108" w:type="dxa"/>
            <w:bottom w:w="0" w:type="dxa"/>
            <w:right w:w="108" w:type="dxa"/>
          </w:tblCellMar>
        </w:tblPrEx>
        <w:trPr>
          <w:trHeight w:val="166" w:hRule="atLeast"/>
        </w:trPr>
        <w:tc>
          <w:tcPr>
            <w:tcW w:w="1259" w:type="dxa"/>
            <w:tcBorders>
              <w:top w:val="nil"/>
              <w:left w:val="single" w:color="000000" w:sz="4" w:space="0"/>
              <w:bottom w:val="nil"/>
              <w:right w:val="nil"/>
            </w:tcBorders>
            <w:vAlign w:val="center"/>
          </w:tcPr>
          <w:p w14:paraId="4CC1F767">
            <w:pPr>
              <w:spacing w:line="300" w:lineRule="exact"/>
              <w:rPr>
                <w:rFonts w:ascii="宋体" w:hAnsi="宋体" w:cs="宋体"/>
                <w:color w:val="auto"/>
                <w:sz w:val="21"/>
                <w:szCs w:val="21"/>
              </w:rPr>
            </w:pPr>
          </w:p>
        </w:tc>
        <w:tc>
          <w:tcPr>
            <w:tcW w:w="4666" w:type="dxa"/>
            <w:tcBorders>
              <w:top w:val="nil"/>
              <w:left w:val="nil"/>
              <w:bottom w:val="nil"/>
              <w:right w:val="nil"/>
            </w:tcBorders>
            <w:vAlign w:val="center"/>
          </w:tcPr>
          <w:p w14:paraId="77196FFE">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7973E205">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59764677">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1D08D291">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22AD0902">
            <w:pPr>
              <w:spacing w:line="300" w:lineRule="exact"/>
              <w:rPr>
                <w:rFonts w:ascii="宋体" w:hAnsi="宋体" w:cs="宋体"/>
                <w:color w:val="auto"/>
                <w:sz w:val="21"/>
                <w:szCs w:val="21"/>
              </w:rPr>
            </w:pPr>
          </w:p>
        </w:tc>
      </w:tr>
      <w:tr w14:paraId="05C3AD02">
        <w:tblPrEx>
          <w:tblCellMar>
            <w:top w:w="0" w:type="dxa"/>
            <w:left w:w="108" w:type="dxa"/>
            <w:bottom w:w="0" w:type="dxa"/>
            <w:right w:w="108" w:type="dxa"/>
          </w:tblCellMar>
        </w:tblPrEx>
        <w:trPr>
          <w:trHeight w:val="283" w:hRule="atLeast"/>
        </w:trPr>
        <w:tc>
          <w:tcPr>
            <w:tcW w:w="13425" w:type="dxa"/>
            <w:gridSpan w:val="6"/>
            <w:tcBorders>
              <w:top w:val="nil"/>
              <w:left w:val="single" w:color="000000" w:sz="4" w:space="0"/>
              <w:bottom w:val="nil"/>
              <w:right w:val="single" w:color="000000" w:sz="4" w:space="0"/>
            </w:tcBorders>
            <w:vAlign w:val="center"/>
          </w:tcPr>
          <w:p w14:paraId="5A376A33">
            <w:pPr>
              <w:widowControl/>
              <w:spacing w:line="300" w:lineRule="exact"/>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       请将该参保人员的个人账户基金汇入下列账户：</w:t>
            </w:r>
          </w:p>
        </w:tc>
      </w:tr>
      <w:tr w14:paraId="46AD41AB">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0C163E54">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账户名：</w:t>
            </w:r>
          </w:p>
        </w:tc>
        <w:tc>
          <w:tcPr>
            <w:tcW w:w="4666" w:type="dxa"/>
            <w:tcBorders>
              <w:top w:val="nil"/>
              <w:left w:val="nil"/>
              <w:bottom w:val="nil"/>
              <w:right w:val="nil"/>
            </w:tcBorders>
            <w:vAlign w:val="center"/>
          </w:tcPr>
          <w:p w14:paraId="2DDBDFC9">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5F1318E2">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29AA07E9">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16AC385C">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3366087C">
            <w:pPr>
              <w:spacing w:line="300" w:lineRule="exact"/>
              <w:rPr>
                <w:rFonts w:ascii="宋体" w:hAnsi="宋体" w:cs="宋体"/>
                <w:color w:val="auto"/>
                <w:sz w:val="21"/>
                <w:szCs w:val="21"/>
              </w:rPr>
            </w:pPr>
          </w:p>
        </w:tc>
      </w:tr>
      <w:tr w14:paraId="17D1E378">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64DB78C5">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开户行：</w:t>
            </w:r>
          </w:p>
        </w:tc>
        <w:tc>
          <w:tcPr>
            <w:tcW w:w="4666" w:type="dxa"/>
            <w:tcBorders>
              <w:top w:val="nil"/>
              <w:left w:val="nil"/>
              <w:bottom w:val="nil"/>
              <w:right w:val="nil"/>
            </w:tcBorders>
            <w:vAlign w:val="center"/>
          </w:tcPr>
          <w:p w14:paraId="26F963B6">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6277D3D9">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148998BB">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31C015F9">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3AB949DD">
            <w:pPr>
              <w:spacing w:line="300" w:lineRule="exact"/>
              <w:rPr>
                <w:rFonts w:ascii="宋体" w:hAnsi="宋体" w:cs="宋体"/>
                <w:color w:val="auto"/>
                <w:sz w:val="21"/>
                <w:szCs w:val="21"/>
              </w:rPr>
            </w:pPr>
          </w:p>
        </w:tc>
      </w:tr>
      <w:tr w14:paraId="21A909C2">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377147CD">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账  号：</w:t>
            </w:r>
          </w:p>
        </w:tc>
        <w:tc>
          <w:tcPr>
            <w:tcW w:w="4666" w:type="dxa"/>
            <w:tcBorders>
              <w:top w:val="nil"/>
              <w:left w:val="nil"/>
              <w:bottom w:val="nil"/>
              <w:right w:val="nil"/>
            </w:tcBorders>
            <w:vAlign w:val="center"/>
          </w:tcPr>
          <w:p w14:paraId="23F1DC1F">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578E465F">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7D30D4C1">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340D258F">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3D100A78">
            <w:pPr>
              <w:spacing w:line="300" w:lineRule="exact"/>
              <w:rPr>
                <w:rFonts w:ascii="宋体" w:hAnsi="宋体" w:cs="宋体"/>
                <w:color w:val="auto"/>
                <w:sz w:val="21"/>
                <w:szCs w:val="21"/>
              </w:rPr>
            </w:pPr>
          </w:p>
        </w:tc>
      </w:tr>
      <w:tr w14:paraId="3ED693C0">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1AFFFB62">
            <w:pPr>
              <w:widowControl/>
              <w:spacing w:line="300" w:lineRule="exact"/>
              <w:jc w:val="center"/>
              <w:textAlignment w:val="center"/>
              <w:rPr>
                <w:rFonts w:ascii="宋体" w:hAnsi="宋体" w:cs="宋体"/>
                <w:color w:val="auto"/>
                <w:sz w:val="21"/>
                <w:szCs w:val="21"/>
              </w:rPr>
            </w:pPr>
          </w:p>
        </w:tc>
        <w:tc>
          <w:tcPr>
            <w:tcW w:w="4666" w:type="dxa"/>
            <w:tcBorders>
              <w:top w:val="nil"/>
              <w:left w:val="nil"/>
              <w:bottom w:val="nil"/>
              <w:right w:val="nil"/>
            </w:tcBorders>
            <w:vAlign w:val="center"/>
          </w:tcPr>
          <w:p w14:paraId="0289A121">
            <w:pPr>
              <w:spacing w:line="300" w:lineRule="exact"/>
              <w:jc w:val="center"/>
              <w:rPr>
                <w:rFonts w:ascii="宋体" w:hAnsi="宋体" w:cs="宋体"/>
                <w:color w:val="auto"/>
                <w:sz w:val="21"/>
                <w:szCs w:val="21"/>
              </w:rPr>
            </w:pPr>
            <w:r>
              <w:rPr>
                <w:rFonts w:hint="eastAsia" w:ascii="宋体" w:hAnsi="宋体" w:cs="宋体"/>
                <w:color w:val="auto"/>
                <w:kern w:val="0"/>
                <w:sz w:val="21"/>
                <w:szCs w:val="21"/>
              </w:rPr>
              <w:t>特此函告。</w:t>
            </w:r>
          </w:p>
        </w:tc>
        <w:tc>
          <w:tcPr>
            <w:tcW w:w="1884" w:type="dxa"/>
            <w:tcBorders>
              <w:top w:val="nil"/>
              <w:left w:val="nil"/>
              <w:bottom w:val="nil"/>
              <w:right w:val="nil"/>
            </w:tcBorders>
            <w:vAlign w:val="center"/>
          </w:tcPr>
          <w:p w14:paraId="7BBC7F1E">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6EF081B6">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240E0263">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784F304F">
            <w:pPr>
              <w:spacing w:line="300" w:lineRule="exact"/>
              <w:rPr>
                <w:rFonts w:ascii="宋体" w:hAnsi="宋体" w:cs="宋体"/>
                <w:color w:val="auto"/>
                <w:sz w:val="21"/>
                <w:szCs w:val="21"/>
              </w:rPr>
            </w:pPr>
          </w:p>
        </w:tc>
      </w:tr>
      <w:tr w14:paraId="36F68171">
        <w:tblPrEx>
          <w:tblCellMar>
            <w:top w:w="0" w:type="dxa"/>
            <w:left w:w="108" w:type="dxa"/>
            <w:bottom w:w="0" w:type="dxa"/>
            <w:right w:w="108" w:type="dxa"/>
          </w:tblCellMar>
        </w:tblPrEx>
        <w:trPr>
          <w:trHeight w:val="283" w:hRule="atLeast"/>
        </w:trPr>
        <w:tc>
          <w:tcPr>
            <w:tcW w:w="5925" w:type="dxa"/>
            <w:gridSpan w:val="2"/>
            <w:tcBorders>
              <w:top w:val="nil"/>
              <w:left w:val="single" w:color="000000" w:sz="4" w:space="0"/>
              <w:bottom w:val="nil"/>
              <w:right w:val="nil"/>
            </w:tcBorders>
            <w:vAlign w:val="center"/>
          </w:tcPr>
          <w:p w14:paraId="00EE051F">
            <w:pPr>
              <w:widowControl/>
              <w:spacing w:line="300" w:lineRule="exact"/>
              <w:jc w:val="center"/>
              <w:textAlignment w:val="center"/>
              <w:rPr>
                <w:rFonts w:ascii="宋体" w:hAnsi="宋体" w:cs="宋体"/>
                <w:color w:val="auto"/>
                <w:sz w:val="21"/>
                <w:szCs w:val="21"/>
              </w:rPr>
            </w:pPr>
          </w:p>
        </w:tc>
        <w:tc>
          <w:tcPr>
            <w:tcW w:w="1884" w:type="dxa"/>
            <w:tcBorders>
              <w:top w:val="nil"/>
              <w:left w:val="nil"/>
              <w:bottom w:val="nil"/>
              <w:right w:val="nil"/>
            </w:tcBorders>
            <w:vAlign w:val="center"/>
          </w:tcPr>
          <w:p w14:paraId="02EDEE6B">
            <w:pPr>
              <w:spacing w:line="300" w:lineRule="exact"/>
              <w:jc w:val="center"/>
              <w:rPr>
                <w:rFonts w:ascii="宋体" w:hAnsi="宋体" w:cs="宋体"/>
                <w:color w:val="auto"/>
                <w:sz w:val="21"/>
                <w:szCs w:val="21"/>
              </w:rPr>
            </w:pPr>
          </w:p>
        </w:tc>
        <w:tc>
          <w:tcPr>
            <w:tcW w:w="669" w:type="dxa"/>
            <w:tcBorders>
              <w:top w:val="nil"/>
              <w:left w:val="nil"/>
              <w:bottom w:val="nil"/>
              <w:right w:val="nil"/>
            </w:tcBorders>
            <w:vAlign w:val="center"/>
          </w:tcPr>
          <w:p w14:paraId="3B2FBD77">
            <w:pPr>
              <w:spacing w:line="300" w:lineRule="exact"/>
              <w:jc w:val="center"/>
              <w:rPr>
                <w:rFonts w:ascii="宋体" w:hAnsi="宋体" w:cs="宋体"/>
                <w:color w:val="auto"/>
                <w:sz w:val="21"/>
                <w:szCs w:val="21"/>
              </w:rPr>
            </w:pPr>
          </w:p>
        </w:tc>
        <w:tc>
          <w:tcPr>
            <w:tcW w:w="1212" w:type="dxa"/>
            <w:tcBorders>
              <w:top w:val="nil"/>
              <w:left w:val="nil"/>
              <w:bottom w:val="nil"/>
              <w:right w:val="nil"/>
            </w:tcBorders>
            <w:vAlign w:val="center"/>
          </w:tcPr>
          <w:p w14:paraId="03ADFA18">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2466C361">
            <w:pPr>
              <w:spacing w:line="300" w:lineRule="exact"/>
              <w:rPr>
                <w:rFonts w:ascii="宋体" w:hAnsi="宋体" w:cs="宋体"/>
                <w:color w:val="auto"/>
                <w:sz w:val="21"/>
                <w:szCs w:val="21"/>
              </w:rPr>
            </w:pPr>
          </w:p>
        </w:tc>
      </w:tr>
      <w:tr w14:paraId="6B9FC998">
        <w:tblPrEx>
          <w:tblCellMar>
            <w:top w:w="0" w:type="dxa"/>
            <w:left w:w="108" w:type="dxa"/>
            <w:bottom w:w="0" w:type="dxa"/>
            <w:right w:w="108" w:type="dxa"/>
          </w:tblCellMar>
        </w:tblPrEx>
        <w:trPr>
          <w:trHeight w:val="283" w:hRule="atLeast"/>
        </w:trPr>
        <w:tc>
          <w:tcPr>
            <w:tcW w:w="13425" w:type="dxa"/>
            <w:gridSpan w:val="6"/>
            <w:tcBorders>
              <w:top w:val="nil"/>
              <w:left w:val="single" w:color="000000" w:sz="4" w:space="0"/>
              <w:bottom w:val="nil"/>
              <w:right w:val="single" w:color="000000" w:sz="4" w:space="0"/>
            </w:tcBorders>
            <w:vAlign w:val="center"/>
          </w:tcPr>
          <w:p w14:paraId="455C2DD4">
            <w:pPr>
              <w:widowControl/>
              <w:spacing w:line="300" w:lineRule="exact"/>
              <w:textAlignment w:val="center"/>
              <w:rPr>
                <w:rFonts w:ascii="宋体" w:hAnsi="宋体" w:cs="宋体"/>
                <w:color w:val="auto"/>
                <w:sz w:val="21"/>
                <w:szCs w:val="21"/>
              </w:rPr>
            </w:pPr>
            <w:r>
              <w:rPr>
                <w:rFonts w:hint="eastAsia" w:ascii="宋体" w:hAnsi="宋体" w:cs="宋体"/>
                <w:color w:val="auto"/>
                <w:kern w:val="0"/>
                <w:sz w:val="21"/>
                <w:szCs w:val="21"/>
              </w:rPr>
              <w:t>单位名称（章）：                                                                  年     月     日</w:t>
            </w:r>
          </w:p>
        </w:tc>
      </w:tr>
      <w:tr w14:paraId="11C3BED3">
        <w:tblPrEx>
          <w:tblCellMar>
            <w:top w:w="0" w:type="dxa"/>
            <w:left w:w="108" w:type="dxa"/>
            <w:bottom w:w="0" w:type="dxa"/>
            <w:right w:w="108" w:type="dxa"/>
          </w:tblCellMar>
        </w:tblPrEx>
        <w:trPr>
          <w:trHeight w:val="283" w:hRule="atLeast"/>
        </w:trPr>
        <w:tc>
          <w:tcPr>
            <w:tcW w:w="13425" w:type="dxa"/>
            <w:gridSpan w:val="6"/>
            <w:tcBorders>
              <w:top w:val="nil"/>
              <w:left w:val="single" w:color="000000" w:sz="4" w:space="0"/>
              <w:bottom w:val="nil"/>
              <w:right w:val="single" w:color="000000" w:sz="4" w:space="0"/>
            </w:tcBorders>
            <w:vAlign w:val="center"/>
          </w:tcPr>
          <w:p w14:paraId="5783A2C2">
            <w:pPr>
              <w:widowControl/>
              <w:spacing w:line="300" w:lineRule="exact"/>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地 址： </w:t>
            </w:r>
          </w:p>
        </w:tc>
      </w:tr>
      <w:tr w14:paraId="162BBBC7">
        <w:tblPrEx>
          <w:tblCellMar>
            <w:top w:w="0" w:type="dxa"/>
            <w:left w:w="108" w:type="dxa"/>
            <w:bottom w:w="0" w:type="dxa"/>
            <w:right w:w="108" w:type="dxa"/>
          </w:tblCellMar>
        </w:tblPrEx>
        <w:trPr>
          <w:trHeight w:val="283" w:hRule="atLeast"/>
        </w:trPr>
        <w:tc>
          <w:tcPr>
            <w:tcW w:w="5925" w:type="dxa"/>
            <w:gridSpan w:val="2"/>
            <w:tcBorders>
              <w:top w:val="nil"/>
              <w:left w:val="single" w:color="000000" w:sz="4" w:space="0"/>
              <w:bottom w:val="nil"/>
              <w:right w:val="nil"/>
            </w:tcBorders>
            <w:vAlign w:val="center"/>
          </w:tcPr>
          <w:p w14:paraId="67F3CC0A">
            <w:pPr>
              <w:widowControl/>
              <w:spacing w:line="300" w:lineRule="exact"/>
              <w:jc w:val="left"/>
              <w:textAlignment w:val="center"/>
              <w:rPr>
                <w:rFonts w:ascii="宋体" w:hAnsi="宋体" w:cs="宋体"/>
                <w:color w:val="auto"/>
                <w:sz w:val="21"/>
                <w:szCs w:val="21"/>
              </w:rPr>
            </w:pPr>
            <w:r>
              <w:rPr>
                <w:rFonts w:hint="eastAsia" w:ascii="宋体" w:hAnsi="宋体" w:cs="宋体"/>
                <w:color w:val="auto"/>
                <w:sz w:val="21"/>
                <w:szCs w:val="21"/>
              </w:rPr>
              <w:t>邮 编：</w:t>
            </w:r>
          </w:p>
        </w:tc>
        <w:tc>
          <w:tcPr>
            <w:tcW w:w="1884" w:type="dxa"/>
            <w:tcBorders>
              <w:top w:val="nil"/>
              <w:left w:val="nil"/>
              <w:bottom w:val="nil"/>
              <w:right w:val="nil"/>
            </w:tcBorders>
            <w:vAlign w:val="center"/>
          </w:tcPr>
          <w:p w14:paraId="029A6F0C">
            <w:pPr>
              <w:spacing w:line="300" w:lineRule="exact"/>
              <w:jc w:val="left"/>
              <w:rPr>
                <w:rFonts w:ascii="宋体" w:hAnsi="宋体" w:cs="宋体"/>
                <w:color w:val="auto"/>
                <w:sz w:val="21"/>
                <w:szCs w:val="21"/>
              </w:rPr>
            </w:pPr>
          </w:p>
        </w:tc>
        <w:tc>
          <w:tcPr>
            <w:tcW w:w="669" w:type="dxa"/>
            <w:tcBorders>
              <w:top w:val="nil"/>
              <w:left w:val="nil"/>
              <w:bottom w:val="nil"/>
              <w:right w:val="nil"/>
            </w:tcBorders>
            <w:vAlign w:val="center"/>
          </w:tcPr>
          <w:p w14:paraId="13211A35">
            <w:pPr>
              <w:spacing w:line="300" w:lineRule="exact"/>
              <w:jc w:val="left"/>
              <w:rPr>
                <w:rFonts w:ascii="宋体" w:hAnsi="宋体" w:cs="宋体"/>
                <w:color w:val="auto"/>
                <w:sz w:val="21"/>
                <w:szCs w:val="21"/>
              </w:rPr>
            </w:pPr>
          </w:p>
        </w:tc>
        <w:tc>
          <w:tcPr>
            <w:tcW w:w="4947" w:type="dxa"/>
            <w:gridSpan w:val="2"/>
            <w:tcBorders>
              <w:top w:val="nil"/>
              <w:left w:val="nil"/>
              <w:bottom w:val="nil"/>
              <w:right w:val="single" w:color="000000" w:sz="4" w:space="0"/>
            </w:tcBorders>
            <w:vAlign w:val="center"/>
          </w:tcPr>
          <w:p w14:paraId="7C95E2E9">
            <w:pPr>
              <w:widowControl/>
              <w:spacing w:line="300" w:lineRule="exact"/>
              <w:jc w:val="left"/>
              <w:textAlignment w:val="center"/>
              <w:rPr>
                <w:rFonts w:ascii="宋体" w:hAnsi="宋体" w:cs="宋体"/>
                <w:color w:val="auto"/>
                <w:sz w:val="21"/>
                <w:szCs w:val="21"/>
              </w:rPr>
            </w:pPr>
          </w:p>
        </w:tc>
      </w:tr>
      <w:tr w14:paraId="54B8CC93">
        <w:tblPrEx>
          <w:tblCellMar>
            <w:top w:w="0" w:type="dxa"/>
            <w:left w:w="108" w:type="dxa"/>
            <w:bottom w:w="0" w:type="dxa"/>
            <w:right w:w="108" w:type="dxa"/>
          </w:tblCellMar>
        </w:tblPrEx>
        <w:trPr>
          <w:trHeight w:val="283" w:hRule="atLeast"/>
        </w:trPr>
        <w:tc>
          <w:tcPr>
            <w:tcW w:w="5925" w:type="dxa"/>
            <w:gridSpan w:val="2"/>
            <w:tcBorders>
              <w:top w:val="nil"/>
              <w:left w:val="single" w:color="000000" w:sz="4" w:space="0"/>
              <w:bottom w:val="single" w:color="auto" w:sz="4" w:space="0"/>
              <w:right w:val="nil"/>
            </w:tcBorders>
            <w:vAlign w:val="center"/>
          </w:tcPr>
          <w:p w14:paraId="2F76E528">
            <w:pPr>
              <w:spacing w:line="300" w:lineRule="exact"/>
              <w:rPr>
                <w:rFonts w:ascii="宋体" w:hAnsi="宋体" w:cs="宋体"/>
                <w:color w:val="auto"/>
                <w:sz w:val="21"/>
                <w:szCs w:val="21"/>
              </w:rPr>
            </w:pPr>
            <w:r>
              <w:rPr>
                <w:rFonts w:hint="eastAsia" w:ascii="宋体" w:hAnsi="宋体" w:cs="宋体"/>
                <w:color w:val="auto"/>
                <w:kern w:val="0"/>
                <w:sz w:val="21"/>
                <w:szCs w:val="21"/>
              </w:rPr>
              <w:t>联系电话：</w:t>
            </w:r>
          </w:p>
        </w:tc>
        <w:tc>
          <w:tcPr>
            <w:tcW w:w="1884" w:type="dxa"/>
            <w:tcBorders>
              <w:top w:val="nil"/>
              <w:left w:val="nil"/>
              <w:bottom w:val="single" w:color="auto" w:sz="4" w:space="0"/>
              <w:right w:val="nil"/>
            </w:tcBorders>
            <w:vAlign w:val="center"/>
          </w:tcPr>
          <w:p w14:paraId="54B75368">
            <w:pPr>
              <w:spacing w:line="300" w:lineRule="exact"/>
              <w:rPr>
                <w:rFonts w:ascii="宋体" w:hAnsi="宋体" w:cs="宋体"/>
                <w:color w:val="auto"/>
                <w:sz w:val="21"/>
                <w:szCs w:val="21"/>
              </w:rPr>
            </w:pPr>
          </w:p>
        </w:tc>
        <w:tc>
          <w:tcPr>
            <w:tcW w:w="669" w:type="dxa"/>
            <w:tcBorders>
              <w:top w:val="nil"/>
              <w:left w:val="nil"/>
              <w:bottom w:val="single" w:color="auto" w:sz="4" w:space="0"/>
              <w:right w:val="nil"/>
            </w:tcBorders>
            <w:vAlign w:val="center"/>
          </w:tcPr>
          <w:p w14:paraId="2E6B4F3E">
            <w:pPr>
              <w:spacing w:line="300" w:lineRule="exact"/>
              <w:rPr>
                <w:rFonts w:ascii="宋体" w:hAnsi="宋体" w:cs="宋体"/>
                <w:color w:val="auto"/>
                <w:sz w:val="21"/>
                <w:szCs w:val="21"/>
              </w:rPr>
            </w:pPr>
          </w:p>
        </w:tc>
        <w:tc>
          <w:tcPr>
            <w:tcW w:w="4947" w:type="dxa"/>
            <w:gridSpan w:val="2"/>
            <w:tcBorders>
              <w:top w:val="nil"/>
              <w:left w:val="nil"/>
              <w:bottom w:val="single" w:color="auto" w:sz="4" w:space="0"/>
              <w:right w:val="single" w:color="000000" w:sz="4" w:space="0"/>
            </w:tcBorders>
            <w:vAlign w:val="center"/>
          </w:tcPr>
          <w:p w14:paraId="4ACDF4BF">
            <w:pPr>
              <w:widowControl/>
              <w:spacing w:line="300" w:lineRule="exact"/>
              <w:jc w:val="left"/>
              <w:textAlignment w:val="center"/>
              <w:rPr>
                <w:rFonts w:ascii="宋体" w:hAnsi="宋体" w:cs="宋体"/>
                <w:color w:val="auto"/>
                <w:sz w:val="21"/>
                <w:szCs w:val="21"/>
              </w:rPr>
            </w:pPr>
          </w:p>
        </w:tc>
      </w:tr>
      <w:tr w14:paraId="1A3745FA">
        <w:tblPrEx>
          <w:tblCellMar>
            <w:top w:w="0" w:type="dxa"/>
            <w:left w:w="108" w:type="dxa"/>
            <w:bottom w:w="0" w:type="dxa"/>
            <w:right w:w="108" w:type="dxa"/>
          </w:tblCellMar>
        </w:tblPrEx>
        <w:trPr>
          <w:trHeight w:val="283" w:hRule="atLeast"/>
        </w:trPr>
        <w:tc>
          <w:tcPr>
            <w:tcW w:w="13425" w:type="dxa"/>
            <w:gridSpan w:val="6"/>
            <w:tcBorders>
              <w:top w:val="single" w:color="auto" w:sz="4" w:space="0"/>
              <w:left w:val="nil"/>
              <w:bottom w:val="nil"/>
              <w:right w:val="nil"/>
            </w:tcBorders>
            <w:vAlign w:val="center"/>
          </w:tcPr>
          <w:p w14:paraId="3ED25AD6">
            <w:pPr>
              <w:widowControl/>
              <w:spacing w:line="300" w:lineRule="exact"/>
              <w:jc w:val="left"/>
              <w:textAlignment w:val="center"/>
              <w:rPr>
                <w:rFonts w:ascii="宋体" w:hAnsi="宋体" w:cs="宋体"/>
                <w:color w:val="auto"/>
                <w:kern w:val="0"/>
                <w:sz w:val="21"/>
                <w:szCs w:val="21"/>
              </w:rPr>
            </w:pPr>
            <w:r>
              <w:rPr>
                <w:rFonts w:hint="eastAsia" w:ascii="宋体" w:hAnsi="宋体" w:cs="宋体"/>
                <w:color w:val="auto"/>
                <w:kern w:val="0"/>
                <w:sz w:val="21"/>
                <w:szCs w:val="21"/>
              </w:rPr>
              <w:t>经办人：                                                                            制表日期：</w:t>
            </w:r>
          </w:p>
        </w:tc>
      </w:tr>
      <w:tr w14:paraId="5A083EAA">
        <w:tblPrEx>
          <w:tblCellMar>
            <w:top w:w="0" w:type="dxa"/>
            <w:left w:w="108" w:type="dxa"/>
            <w:bottom w:w="0" w:type="dxa"/>
            <w:right w:w="108" w:type="dxa"/>
          </w:tblCellMar>
        </w:tblPrEx>
        <w:trPr>
          <w:trHeight w:val="283" w:hRule="atLeast"/>
        </w:trPr>
        <w:tc>
          <w:tcPr>
            <w:tcW w:w="13425" w:type="dxa"/>
            <w:gridSpan w:val="6"/>
            <w:tcBorders>
              <w:top w:val="nil"/>
              <w:left w:val="nil"/>
              <w:bottom w:val="nil"/>
              <w:right w:val="nil"/>
            </w:tcBorders>
            <w:vAlign w:val="center"/>
          </w:tcPr>
          <w:p w14:paraId="5E9F1A85">
            <w:pPr>
              <w:widowControl/>
              <w:jc w:val="left"/>
              <w:textAlignment w:val="center"/>
              <w:rPr>
                <w:rFonts w:ascii="宋体" w:hAnsi="宋体" w:cs="宋体"/>
                <w:color w:val="auto"/>
                <w:kern w:val="0"/>
                <w:sz w:val="21"/>
                <w:szCs w:val="21"/>
              </w:rPr>
            </w:pPr>
            <w:r>
              <w:rPr>
                <w:rFonts w:hint="eastAsia" w:ascii="宋体" w:hAnsi="宋体" w:cs="宋体"/>
                <w:b/>
                <w:color w:val="auto"/>
                <w:kern w:val="0"/>
                <w:sz w:val="21"/>
                <w:szCs w:val="21"/>
              </w:rPr>
              <w:t>注：</w:t>
            </w:r>
            <w:r>
              <w:rPr>
                <w:rFonts w:hint="eastAsia" w:ascii="宋体" w:hAnsi="宋体" w:cs="宋体"/>
                <w:color w:val="auto"/>
                <w:kern w:val="0"/>
                <w:sz w:val="21"/>
                <w:szCs w:val="21"/>
              </w:rPr>
              <w:t>此表一式两联，转入地、转出地县社保机构各留存一份。</w:t>
            </w:r>
          </w:p>
        </w:tc>
      </w:tr>
    </w:tbl>
    <w:p w14:paraId="78EF4494">
      <w:pPr>
        <w:rPr>
          <w:rFonts w:ascii="黑体" w:hAnsi="黑体" w:eastAsia="黑体" w:cs="黑体"/>
          <w:color w:val="auto"/>
          <w:kern w:val="0"/>
          <w:sz w:val="32"/>
          <w:szCs w:val="32"/>
        </w:rPr>
      </w:pPr>
      <w:r>
        <w:rPr>
          <w:rFonts w:hint="eastAsia" w:ascii="黑体" w:hAnsi="黑体" w:eastAsia="黑体" w:cs="黑体"/>
          <w:color w:val="auto"/>
          <w:kern w:val="0"/>
          <w:sz w:val="32"/>
          <w:szCs w:val="32"/>
        </w:rPr>
        <w:br w:type="page"/>
      </w:r>
      <w:r>
        <w:rPr>
          <w:rFonts w:hint="eastAsia" w:ascii="黑体" w:hAnsi="黑体" w:eastAsia="黑体" w:cs="黑体"/>
          <w:color w:val="auto"/>
          <w:kern w:val="0"/>
          <w:sz w:val="32"/>
          <w:szCs w:val="32"/>
        </w:rPr>
        <w:t>附件14</w:t>
      </w:r>
    </w:p>
    <w:p w14:paraId="53492D14">
      <w:pPr>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居民基本养老保险关系跨省转出审批表</w:t>
      </w:r>
    </w:p>
    <w:tbl>
      <w:tblPr>
        <w:tblStyle w:val="8"/>
        <w:tblW w:w="13164" w:type="dxa"/>
        <w:jc w:val="center"/>
        <w:tblLayout w:type="fixed"/>
        <w:tblCellMar>
          <w:top w:w="0" w:type="dxa"/>
          <w:left w:w="108" w:type="dxa"/>
          <w:bottom w:w="0" w:type="dxa"/>
          <w:right w:w="108" w:type="dxa"/>
        </w:tblCellMar>
      </w:tblPr>
      <w:tblGrid>
        <w:gridCol w:w="756"/>
        <w:gridCol w:w="1554"/>
        <w:gridCol w:w="1103"/>
        <w:gridCol w:w="116"/>
        <w:gridCol w:w="1550"/>
        <w:gridCol w:w="814"/>
        <w:gridCol w:w="867"/>
        <w:gridCol w:w="944"/>
        <w:gridCol w:w="992"/>
        <w:gridCol w:w="760"/>
        <w:gridCol w:w="2054"/>
        <w:gridCol w:w="1654"/>
      </w:tblGrid>
      <w:tr w14:paraId="19CBFECD">
        <w:tblPrEx>
          <w:tblCellMar>
            <w:top w:w="0" w:type="dxa"/>
            <w:left w:w="108" w:type="dxa"/>
            <w:bottom w:w="0" w:type="dxa"/>
            <w:right w:w="108" w:type="dxa"/>
          </w:tblCellMar>
        </w:tblPrEx>
        <w:trPr>
          <w:trHeight w:val="333"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1C5E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F0277">
            <w:pPr>
              <w:widowControl/>
              <w:jc w:val="left"/>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3FCCF">
            <w:pPr>
              <w:widowControl/>
              <w:jc w:val="center"/>
              <w:textAlignment w:val="center"/>
              <w:rPr>
                <w:rFonts w:ascii="宋体" w:hAnsi="宋体" w:cs="宋体"/>
                <w:color w:val="auto"/>
                <w:sz w:val="21"/>
                <w:szCs w:val="21"/>
              </w:rPr>
            </w:pPr>
            <w:r>
              <w:rPr>
                <w:rFonts w:hint="eastAsia" w:ascii="宋体" w:hAnsi="宋体" w:cs="宋体"/>
                <w:color w:val="auto"/>
                <w:sz w:val="21"/>
                <w:szCs w:val="21"/>
              </w:rPr>
              <w:t>性别</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6BED1">
            <w:pPr>
              <w:widowControl/>
              <w:jc w:val="center"/>
              <w:textAlignment w:val="center"/>
              <w:rPr>
                <w:rFonts w:ascii="宋体" w:hAnsi="宋体" w:cs="宋体"/>
                <w:color w:val="auto"/>
                <w:sz w:val="21"/>
                <w:szCs w:val="21"/>
              </w:rPr>
            </w:pPr>
          </w:p>
        </w:tc>
      </w:tr>
      <w:tr w14:paraId="398A5124">
        <w:tblPrEx>
          <w:tblCellMar>
            <w:top w:w="0" w:type="dxa"/>
            <w:left w:w="108" w:type="dxa"/>
            <w:bottom w:w="0" w:type="dxa"/>
            <w:right w:w="108" w:type="dxa"/>
          </w:tblCellMar>
        </w:tblPrEx>
        <w:trPr>
          <w:trHeight w:val="354"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457BF">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763D10">
            <w:pPr>
              <w:widowControl/>
              <w:jc w:val="left"/>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3D5A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出生日期</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FE980">
            <w:pPr>
              <w:widowControl/>
              <w:jc w:val="center"/>
              <w:textAlignment w:val="center"/>
              <w:rPr>
                <w:rFonts w:ascii="宋体" w:hAnsi="宋体" w:cs="宋体"/>
                <w:color w:val="auto"/>
                <w:sz w:val="21"/>
                <w:szCs w:val="21"/>
              </w:rPr>
            </w:pPr>
          </w:p>
        </w:tc>
      </w:tr>
      <w:tr w14:paraId="34422766">
        <w:tblPrEx>
          <w:tblCellMar>
            <w:top w:w="0" w:type="dxa"/>
            <w:left w:w="108" w:type="dxa"/>
            <w:bottom w:w="0" w:type="dxa"/>
            <w:right w:w="108" w:type="dxa"/>
          </w:tblCellMar>
        </w:tblPrEx>
        <w:trPr>
          <w:trHeight w:val="304"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B6CA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4C6F81">
            <w:pPr>
              <w:widowControl/>
              <w:jc w:val="center"/>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F8FC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参保时间</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521EC">
            <w:pPr>
              <w:jc w:val="center"/>
              <w:rPr>
                <w:rFonts w:ascii="宋体" w:hAnsi="宋体" w:cs="宋体"/>
                <w:color w:val="auto"/>
                <w:sz w:val="21"/>
                <w:szCs w:val="21"/>
              </w:rPr>
            </w:pPr>
          </w:p>
        </w:tc>
      </w:tr>
      <w:tr w14:paraId="6ACD0DF8">
        <w:tblPrEx>
          <w:tblCellMar>
            <w:top w:w="0" w:type="dxa"/>
            <w:left w:w="108" w:type="dxa"/>
            <w:bottom w:w="0" w:type="dxa"/>
            <w:right w:w="108" w:type="dxa"/>
          </w:tblCellMar>
        </w:tblPrEx>
        <w:trPr>
          <w:trHeight w:val="23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0002F">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居住地址</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F203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280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D280B6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联系电话</w:t>
            </w:r>
          </w:p>
        </w:tc>
        <w:tc>
          <w:tcPr>
            <w:tcW w:w="446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F8CDC32">
            <w:pPr>
              <w:widowControl/>
              <w:jc w:val="center"/>
              <w:textAlignment w:val="center"/>
              <w:rPr>
                <w:rFonts w:ascii="宋体" w:hAnsi="宋体" w:cs="宋体"/>
                <w:color w:val="auto"/>
                <w:kern w:val="0"/>
                <w:sz w:val="21"/>
                <w:szCs w:val="21"/>
              </w:rPr>
            </w:pPr>
          </w:p>
        </w:tc>
      </w:tr>
      <w:tr w14:paraId="151603BC">
        <w:tblPrEx>
          <w:tblCellMar>
            <w:top w:w="0" w:type="dxa"/>
            <w:left w:w="108" w:type="dxa"/>
            <w:bottom w:w="0" w:type="dxa"/>
            <w:right w:w="108" w:type="dxa"/>
          </w:tblCellMar>
        </w:tblPrEx>
        <w:trPr>
          <w:trHeight w:val="185"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B114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转出地村（居）委会</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AFDA6D">
            <w:pPr>
              <w:widowControl/>
              <w:jc w:val="center"/>
              <w:textAlignment w:val="center"/>
              <w:rPr>
                <w:rFonts w:ascii="宋体" w:hAnsi="宋体" w:cs="宋体"/>
                <w:color w:val="auto"/>
                <w:kern w:val="0"/>
                <w:sz w:val="21"/>
                <w:szCs w:val="21"/>
              </w:rPr>
            </w:pPr>
          </w:p>
        </w:tc>
        <w:tc>
          <w:tcPr>
            <w:tcW w:w="280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24DE61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转入地村（居）委会</w:t>
            </w:r>
          </w:p>
        </w:tc>
        <w:tc>
          <w:tcPr>
            <w:tcW w:w="446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9AD85D4">
            <w:pPr>
              <w:widowControl/>
              <w:jc w:val="center"/>
              <w:textAlignment w:val="center"/>
              <w:rPr>
                <w:rFonts w:ascii="宋体" w:hAnsi="宋体" w:cs="宋体"/>
                <w:color w:val="auto"/>
                <w:kern w:val="0"/>
                <w:sz w:val="21"/>
                <w:szCs w:val="21"/>
              </w:rPr>
            </w:pPr>
          </w:p>
        </w:tc>
      </w:tr>
      <w:tr w14:paraId="265B99BA">
        <w:tblPrEx>
          <w:tblCellMar>
            <w:top w:w="0" w:type="dxa"/>
            <w:left w:w="108" w:type="dxa"/>
            <w:bottom w:w="0" w:type="dxa"/>
            <w:right w:w="108" w:type="dxa"/>
          </w:tblCellMar>
        </w:tblPrEx>
        <w:trPr>
          <w:trHeight w:val="193"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800D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转出地县级社保机构</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C2EC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280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4DB0DA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转入地县级社保机构 </w:t>
            </w:r>
          </w:p>
        </w:tc>
        <w:tc>
          <w:tcPr>
            <w:tcW w:w="446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A7BC79B">
            <w:pPr>
              <w:widowControl/>
              <w:jc w:val="center"/>
              <w:textAlignment w:val="center"/>
              <w:rPr>
                <w:rFonts w:ascii="宋体" w:hAnsi="宋体" w:cs="宋体"/>
                <w:color w:val="auto"/>
                <w:kern w:val="0"/>
                <w:sz w:val="21"/>
                <w:szCs w:val="21"/>
              </w:rPr>
            </w:pPr>
          </w:p>
        </w:tc>
      </w:tr>
      <w:tr w14:paraId="4757538D">
        <w:tblPrEx>
          <w:tblCellMar>
            <w:top w:w="0" w:type="dxa"/>
            <w:left w:w="108" w:type="dxa"/>
            <w:bottom w:w="0" w:type="dxa"/>
            <w:right w:w="108" w:type="dxa"/>
          </w:tblCellMar>
        </w:tblPrEx>
        <w:trPr>
          <w:trHeight w:val="299"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DF29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缴费起始时间</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C82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23802">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缴费终止时间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06ED">
            <w:pPr>
              <w:widowControl/>
              <w:jc w:val="center"/>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7AE3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累计缴费年限</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5F33B">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r>
      <w:tr w14:paraId="6ECF376A">
        <w:tblPrEx>
          <w:tblCellMar>
            <w:top w:w="0" w:type="dxa"/>
            <w:left w:w="108" w:type="dxa"/>
            <w:bottom w:w="0" w:type="dxa"/>
            <w:right w:w="108" w:type="dxa"/>
          </w:tblCellMar>
        </w:tblPrEx>
        <w:trPr>
          <w:trHeight w:val="244" w:hRule="atLeast"/>
          <w:jc w:val="center"/>
        </w:trPr>
        <w:tc>
          <w:tcPr>
            <w:tcW w:w="131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425755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历年个人账户明细（元）</w:t>
            </w:r>
          </w:p>
        </w:tc>
      </w:tr>
      <w:tr w14:paraId="3C6E5BEA">
        <w:tblPrEx>
          <w:tblCellMar>
            <w:top w:w="0" w:type="dxa"/>
            <w:left w:w="108" w:type="dxa"/>
            <w:bottom w:w="0" w:type="dxa"/>
            <w:right w:w="108" w:type="dxa"/>
          </w:tblCellMar>
        </w:tblPrEx>
        <w:trPr>
          <w:trHeight w:val="252"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5D99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年份</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6283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个人缴费</w:t>
            </w:r>
          </w:p>
        </w:tc>
        <w:tc>
          <w:tcPr>
            <w:tcW w:w="2769"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1EBD700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补助（资助）</w:t>
            </w:r>
          </w:p>
        </w:tc>
        <w:tc>
          <w:tcPr>
            <w:tcW w:w="2625"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4D3E945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政府补贴</w:t>
            </w: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582C079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利息</w:t>
            </w:r>
          </w:p>
        </w:tc>
        <w:tc>
          <w:tcPr>
            <w:tcW w:w="760" w:type="dxa"/>
            <w:vMerge w:val="restart"/>
            <w:tcBorders>
              <w:top w:val="single" w:color="000000" w:sz="4" w:space="0"/>
              <w:left w:val="single" w:color="000000" w:sz="4" w:space="0"/>
              <w:right w:val="single" w:color="000000" w:sz="4" w:space="0"/>
            </w:tcBorders>
            <w:shd w:val="clear" w:color="auto" w:fill="auto"/>
            <w:vAlign w:val="center"/>
          </w:tcPr>
          <w:p w14:paraId="4861763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其他</w:t>
            </w:r>
          </w:p>
        </w:tc>
        <w:tc>
          <w:tcPr>
            <w:tcW w:w="2054" w:type="dxa"/>
            <w:vMerge w:val="restart"/>
            <w:tcBorders>
              <w:top w:val="single" w:color="000000" w:sz="4" w:space="0"/>
              <w:left w:val="single" w:color="000000" w:sz="4" w:space="0"/>
              <w:right w:val="single" w:color="000000" w:sz="4" w:space="0"/>
            </w:tcBorders>
            <w:shd w:val="clear" w:color="auto" w:fill="auto"/>
            <w:vAlign w:val="center"/>
          </w:tcPr>
          <w:p w14:paraId="07FC231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至本年末个人账户累计储存额</w:t>
            </w:r>
          </w:p>
        </w:tc>
        <w:tc>
          <w:tcPr>
            <w:tcW w:w="1654" w:type="dxa"/>
            <w:vMerge w:val="restart"/>
            <w:tcBorders>
              <w:top w:val="single" w:color="000000" w:sz="4" w:space="0"/>
              <w:left w:val="single" w:color="000000" w:sz="4" w:space="0"/>
              <w:right w:val="single" w:color="000000" w:sz="4" w:space="0"/>
            </w:tcBorders>
            <w:shd w:val="clear" w:color="auto" w:fill="auto"/>
            <w:vAlign w:val="center"/>
          </w:tcPr>
          <w:p w14:paraId="3556D53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备注</w:t>
            </w:r>
          </w:p>
        </w:tc>
      </w:tr>
      <w:tr w14:paraId="759EDF8E">
        <w:tblPrEx>
          <w:tblCellMar>
            <w:top w:w="0" w:type="dxa"/>
            <w:left w:w="108" w:type="dxa"/>
            <w:bottom w:w="0" w:type="dxa"/>
            <w:right w:w="108" w:type="dxa"/>
          </w:tblCellMar>
        </w:tblPrEx>
        <w:trPr>
          <w:trHeight w:val="212"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98CE">
            <w:pPr>
              <w:jc w:val="center"/>
              <w:rPr>
                <w:rFonts w:ascii="宋体" w:hAnsi="宋体" w:cs="宋体"/>
                <w:color w:val="auto"/>
                <w:sz w:val="21"/>
                <w:szCs w:val="21"/>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B407">
            <w:pPr>
              <w:jc w:val="center"/>
              <w:rPr>
                <w:rFonts w:ascii="宋体" w:hAnsi="宋体" w:cs="宋体"/>
                <w:color w:val="auto"/>
                <w:sz w:val="21"/>
                <w:szCs w:val="21"/>
              </w:rPr>
            </w:pPr>
          </w:p>
        </w:tc>
        <w:tc>
          <w:tcPr>
            <w:tcW w:w="121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3906A66">
            <w:pPr>
              <w:widowControl/>
              <w:jc w:val="center"/>
              <w:textAlignment w:val="center"/>
              <w:rPr>
                <w:rFonts w:ascii="宋体" w:hAnsi="宋体" w:cs="宋体"/>
                <w:color w:val="auto"/>
                <w:sz w:val="21"/>
                <w:szCs w:val="21"/>
              </w:rPr>
            </w:pPr>
            <w:r>
              <w:rPr>
                <w:rFonts w:hint="eastAsia" w:ascii="宋体" w:hAnsi="宋体" w:cs="宋体"/>
                <w:color w:val="auto"/>
                <w:sz w:val="21"/>
                <w:szCs w:val="21"/>
              </w:rPr>
              <w:t>村</w:t>
            </w:r>
          </w:p>
        </w:tc>
        <w:tc>
          <w:tcPr>
            <w:tcW w:w="1550" w:type="dxa"/>
            <w:tcBorders>
              <w:top w:val="single" w:color="auto" w:sz="4" w:space="0"/>
              <w:left w:val="single" w:color="000000" w:sz="4" w:space="0"/>
              <w:bottom w:val="single" w:color="000000" w:sz="4" w:space="0"/>
              <w:right w:val="single" w:color="auto" w:sz="4" w:space="0"/>
            </w:tcBorders>
            <w:shd w:val="clear" w:color="auto" w:fill="auto"/>
            <w:vAlign w:val="center"/>
          </w:tcPr>
          <w:p w14:paraId="4573D346">
            <w:pPr>
              <w:widowControl/>
              <w:jc w:val="center"/>
              <w:textAlignment w:val="center"/>
              <w:rPr>
                <w:rFonts w:ascii="宋体" w:hAnsi="宋体" w:cs="宋体"/>
                <w:color w:val="auto"/>
                <w:sz w:val="21"/>
                <w:szCs w:val="21"/>
              </w:rPr>
            </w:pPr>
            <w:r>
              <w:rPr>
                <w:rFonts w:hint="eastAsia" w:ascii="宋体" w:hAnsi="宋体" w:cs="宋体"/>
                <w:color w:val="auto"/>
                <w:sz w:val="21"/>
                <w:szCs w:val="21"/>
              </w:rPr>
              <w:t>其他</w:t>
            </w:r>
          </w:p>
        </w:tc>
        <w:tc>
          <w:tcPr>
            <w:tcW w:w="814" w:type="dxa"/>
            <w:tcBorders>
              <w:top w:val="single" w:color="auto" w:sz="4" w:space="0"/>
              <w:left w:val="single" w:color="auto" w:sz="4" w:space="0"/>
              <w:bottom w:val="single" w:color="000000" w:sz="4" w:space="0"/>
              <w:right w:val="single" w:color="000000" w:sz="4" w:space="0"/>
            </w:tcBorders>
            <w:shd w:val="clear" w:color="auto" w:fill="auto"/>
            <w:vAlign w:val="center"/>
          </w:tcPr>
          <w:p w14:paraId="658456E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01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3F6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县</w:t>
            </w:r>
          </w:p>
        </w:tc>
        <w:tc>
          <w:tcPr>
            <w:tcW w:w="992" w:type="dxa"/>
            <w:vMerge w:val="continue"/>
            <w:tcBorders>
              <w:left w:val="single" w:color="000000" w:sz="4" w:space="0"/>
              <w:right w:val="single" w:color="000000" w:sz="4" w:space="0"/>
            </w:tcBorders>
            <w:shd w:val="clear" w:color="auto" w:fill="auto"/>
            <w:vAlign w:val="center"/>
          </w:tcPr>
          <w:p w14:paraId="51AE10BB">
            <w:pPr>
              <w:jc w:val="center"/>
              <w:rPr>
                <w:rFonts w:ascii="宋体" w:hAnsi="宋体" w:cs="宋体"/>
                <w:color w:val="auto"/>
                <w:sz w:val="21"/>
                <w:szCs w:val="21"/>
              </w:rPr>
            </w:pPr>
          </w:p>
        </w:tc>
        <w:tc>
          <w:tcPr>
            <w:tcW w:w="760" w:type="dxa"/>
            <w:vMerge w:val="continue"/>
            <w:tcBorders>
              <w:left w:val="single" w:color="000000" w:sz="4" w:space="0"/>
              <w:right w:val="single" w:color="000000" w:sz="4" w:space="0"/>
            </w:tcBorders>
            <w:shd w:val="clear" w:color="auto" w:fill="auto"/>
            <w:vAlign w:val="center"/>
          </w:tcPr>
          <w:p w14:paraId="2676EFEC">
            <w:pPr>
              <w:jc w:val="center"/>
              <w:rPr>
                <w:rFonts w:ascii="宋体" w:hAnsi="宋体" w:cs="宋体"/>
                <w:color w:val="auto"/>
                <w:sz w:val="21"/>
                <w:szCs w:val="21"/>
              </w:rPr>
            </w:pPr>
          </w:p>
        </w:tc>
        <w:tc>
          <w:tcPr>
            <w:tcW w:w="2054" w:type="dxa"/>
            <w:vMerge w:val="continue"/>
            <w:tcBorders>
              <w:left w:val="single" w:color="000000" w:sz="4" w:space="0"/>
              <w:right w:val="single" w:color="000000" w:sz="4" w:space="0"/>
            </w:tcBorders>
            <w:shd w:val="clear" w:color="auto" w:fill="auto"/>
            <w:vAlign w:val="center"/>
          </w:tcPr>
          <w:p w14:paraId="069BD521">
            <w:pPr>
              <w:jc w:val="center"/>
              <w:rPr>
                <w:rFonts w:ascii="宋体" w:hAnsi="宋体" w:cs="宋体"/>
                <w:color w:val="auto"/>
                <w:sz w:val="21"/>
                <w:szCs w:val="21"/>
              </w:rPr>
            </w:pPr>
          </w:p>
        </w:tc>
        <w:tc>
          <w:tcPr>
            <w:tcW w:w="1654" w:type="dxa"/>
            <w:vMerge w:val="continue"/>
            <w:tcBorders>
              <w:left w:val="single" w:color="000000" w:sz="4" w:space="0"/>
              <w:right w:val="single" w:color="000000" w:sz="4" w:space="0"/>
            </w:tcBorders>
            <w:shd w:val="clear" w:color="auto" w:fill="auto"/>
            <w:vAlign w:val="center"/>
          </w:tcPr>
          <w:p w14:paraId="401C2FBF">
            <w:pPr>
              <w:jc w:val="center"/>
              <w:rPr>
                <w:rFonts w:ascii="宋体" w:hAnsi="宋体" w:cs="宋体"/>
                <w:color w:val="auto"/>
                <w:sz w:val="21"/>
                <w:szCs w:val="21"/>
              </w:rPr>
            </w:pPr>
          </w:p>
        </w:tc>
      </w:tr>
      <w:tr w14:paraId="161B904F">
        <w:tblPrEx>
          <w:tblCellMar>
            <w:top w:w="0" w:type="dxa"/>
            <w:left w:w="108" w:type="dxa"/>
            <w:bottom w:w="0" w:type="dxa"/>
            <w:right w:w="108" w:type="dxa"/>
          </w:tblCellMar>
        </w:tblPrEx>
        <w:trPr>
          <w:trHeight w:val="1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5129">
            <w:pPr>
              <w:widowControl/>
              <w:jc w:val="center"/>
              <w:textAlignment w:val="center"/>
              <w:rPr>
                <w:rFonts w:ascii="宋体" w:hAnsi="宋体" w:cs="宋体"/>
                <w:color w:val="auto"/>
                <w:sz w:val="21"/>
                <w:szCs w:val="21"/>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C08">
            <w:pPr>
              <w:widowControl/>
              <w:jc w:val="center"/>
              <w:textAlignment w:val="center"/>
              <w:rPr>
                <w:rFonts w:ascii="宋体" w:hAnsi="宋体" w:cs="宋体"/>
                <w:color w:val="auto"/>
                <w:sz w:val="21"/>
                <w:szCs w:val="21"/>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52CC4">
            <w:pPr>
              <w:widowControl/>
              <w:jc w:val="center"/>
              <w:textAlignment w:val="center"/>
              <w:rPr>
                <w:rFonts w:ascii="宋体" w:hAnsi="宋体" w:cs="宋体"/>
                <w:color w:val="auto"/>
                <w:sz w:val="21"/>
                <w:szCs w:val="21"/>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E61B">
            <w:pPr>
              <w:widowControl/>
              <w:jc w:val="center"/>
              <w:textAlignment w:val="center"/>
              <w:rPr>
                <w:rFonts w:ascii="宋体" w:hAnsi="宋体" w:cs="宋体"/>
                <w:color w:val="auto"/>
                <w:sz w:val="21"/>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9ABB">
            <w:pPr>
              <w:widowControl/>
              <w:jc w:val="center"/>
              <w:textAlignment w:val="center"/>
              <w:rPr>
                <w:rFonts w:ascii="宋体" w:hAnsi="宋体" w:cs="宋体"/>
                <w:color w:val="auto"/>
                <w:sz w:val="21"/>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8D18">
            <w:pPr>
              <w:widowControl/>
              <w:jc w:val="center"/>
              <w:textAlignment w:val="center"/>
              <w:rPr>
                <w:rFonts w:ascii="宋体" w:hAnsi="宋体" w:cs="宋体"/>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536B">
            <w:pPr>
              <w:widowControl/>
              <w:jc w:val="center"/>
              <w:textAlignment w:val="center"/>
              <w:rPr>
                <w:rFonts w:ascii="宋体" w:hAnsi="宋体" w:cs="宋体"/>
                <w:color w:val="auto"/>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A38A">
            <w:pPr>
              <w:widowControl/>
              <w:jc w:val="center"/>
              <w:textAlignment w:val="center"/>
              <w:rPr>
                <w:rFonts w:ascii="宋体" w:hAnsi="宋体" w:cs="宋体"/>
                <w:color w:val="auto"/>
                <w:sz w:val="21"/>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818B">
            <w:pPr>
              <w:widowControl/>
              <w:jc w:val="center"/>
              <w:textAlignment w:val="center"/>
              <w:rPr>
                <w:rFonts w:ascii="宋体" w:hAnsi="宋体" w:cs="宋体"/>
                <w:color w:val="auto"/>
                <w:sz w:val="21"/>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51A8">
            <w:pPr>
              <w:widowControl/>
              <w:jc w:val="center"/>
              <w:textAlignment w:val="center"/>
              <w:rPr>
                <w:rFonts w:ascii="宋体" w:hAnsi="宋体" w:cs="宋体"/>
                <w:color w:val="auto"/>
                <w:sz w:val="21"/>
                <w:szCs w:val="21"/>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8C9F">
            <w:pPr>
              <w:rPr>
                <w:rFonts w:ascii="宋体" w:hAnsi="宋体" w:cs="宋体"/>
                <w:color w:val="auto"/>
                <w:sz w:val="21"/>
                <w:szCs w:val="21"/>
              </w:rPr>
            </w:pPr>
          </w:p>
        </w:tc>
      </w:tr>
      <w:tr w14:paraId="1E54A3AA">
        <w:tblPrEx>
          <w:tblCellMar>
            <w:top w:w="0" w:type="dxa"/>
            <w:left w:w="108" w:type="dxa"/>
            <w:bottom w:w="0" w:type="dxa"/>
            <w:right w:w="108" w:type="dxa"/>
          </w:tblCellMar>
        </w:tblPrEx>
        <w:trPr>
          <w:trHeight w:val="29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D8E5">
            <w:pPr>
              <w:widowControl/>
              <w:jc w:val="center"/>
              <w:textAlignment w:val="center"/>
              <w:rPr>
                <w:rFonts w:ascii="宋体" w:hAnsi="宋体" w:cs="宋体"/>
                <w:color w:val="auto"/>
                <w:sz w:val="21"/>
                <w:szCs w:val="21"/>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E9B">
            <w:pPr>
              <w:widowControl/>
              <w:jc w:val="center"/>
              <w:textAlignment w:val="center"/>
              <w:rPr>
                <w:rFonts w:ascii="宋体" w:hAnsi="宋体" w:cs="宋体"/>
                <w:color w:val="auto"/>
                <w:sz w:val="21"/>
                <w:szCs w:val="21"/>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2B9A9">
            <w:pPr>
              <w:widowControl/>
              <w:jc w:val="center"/>
              <w:textAlignment w:val="center"/>
              <w:rPr>
                <w:rFonts w:ascii="宋体" w:hAnsi="宋体" w:cs="宋体"/>
                <w:color w:val="auto"/>
                <w:sz w:val="21"/>
                <w:szCs w:val="21"/>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6D35">
            <w:pPr>
              <w:widowControl/>
              <w:jc w:val="center"/>
              <w:textAlignment w:val="center"/>
              <w:rPr>
                <w:rFonts w:ascii="宋体" w:hAnsi="宋体" w:cs="宋体"/>
                <w:color w:val="auto"/>
                <w:sz w:val="21"/>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B63E">
            <w:pPr>
              <w:widowControl/>
              <w:jc w:val="center"/>
              <w:textAlignment w:val="center"/>
              <w:rPr>
                <w:rFonts w:ascii="宋体" w:hAnsi="宋体" w:cs="宋体"/>
                <w:color w:val="auto"/>
                <w:sz w:val="21"/>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8899">
            <w:pPr>
              <w:widowControl/>
              <w:jc w:val="center"/>
              <w:textAlignment w:val="center"/>
              <w:rPr>
                <w:rFonts w:ascii="宋体" w:hAnsi="宋体" w:cs="宋体"/>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6E6">
            <w:pPr>
              <w:widowControl/>
              <w:jc w:val="center"/>
              <w:textAlignment w:val="center"/>
              <w:rPr>
                <w:rFonts w:ascii="宋体" w:hAnsi="宋体" w:cs="宋体"/>
                <w:color w:val="auto"/>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A18E">
            <w:pPr>
              <w:widowControl/>
              <w:jc w:val="center"/>
              <w:textAlignment w:val="center"/>
              <w:rPr>
                <w:rFonts w:ascii="宋体" w:hAnsi="宋体" w:cs="宋体"/>
                <w:color w:val="auto"/>
                <w:sz w:val="21"/>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993C">
            <w:pPr>
              <w:widowControl/>
              <w:jc w:val="center"/>
              <w:textAlignment w:val="center"/>
              <w:rPr>
                <w:rFonts w:ascii="宋体" w:hAnsi="宋体" w:cs="宋体"/>
                <w:color w:val="auto"/>
                <w:sz w:val="21"/>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C786">
            <w:pPr>
              <w:widowControl/>
              <w:jc w:val="center"/>
              <w:textAlignment w:val="center"/>
              <w:rPr>
                <w:rFonts w:ascii="宋体" w:hAnsi="宋体" w:cs="宋体"/>
                <w:color w:val="auto"/>
                <w:sz w:val="21"/>
                <w:szCs w:val="21"/>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2E1">
            <w:pPr>
              <w:rPr>
                <w:rFonts w:ascii="宋体" w:hAnsi="宋体" w:cs="宋体"/>
                <w:color w:val="auto"/>
                <w:sz w:val="21"/>
                <w:szCs w:val="21"/>
              </w:rPr>
            </w:pPr>
          </w:p>
        </w:tc>
      </w:tr>
      <w:tr w14:paraId="4DDDCCA5">
        <w:tblPrEx>
          <w:tblCellMar>
            <w:top w:w="0" w:type="dxa"/>
            <w:left w:w="108" w:type="dxa"/>
            <w:bottom w:w="0" w:type="dxa"/>
            <w:right w:w="108" w:type="dxa"/>
          </w:tblCellMar>
        </w:tblPrEx>
        <w:trPr>
          <w:trHeight w:val="9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92C7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转出时间</w:t>
            </w:r>
          </w:p>
        </w:tc>
        <w:tc>
          <w:tcPr>
            <w:tcW w:w="108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F0C1BF">
            <w:pPr>
              <w:jc w:val="center"/>
              <w:rPr>
                <w:rFonts w:ascii="宋体" w:hAnsi="宋体" w:cs="宋体"/>
                <w:color w:val="auto"/>
                <w:sz w:val="21"/>
                <w:szCs w:val="21"/>
              </w:rPr>
            </w:pPr>
          </w:p>
        </w:tc>
      </w:tr>
      <w:tr w14:paraId="1BF9CE45">
        <w:tblPrEx>
          <w:tblCellMar>
            <w:top w:w="0" w:type="dxa"/>
            <w:left w:w="108" w:type="dxa"/>
            <w:bottom w:w="0" w:type="dxa"/>
            <w:right w:w="108" w:type="dxa"/>
          </w:tblCellMar>
        </w:tblPrEx>
        <w:trPr>
          <w:trHeight w:val="223"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7DF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转出金额</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65DB8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4FD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大写</w:t>
            </w:r>
          </w:p>
        </w:tc>
        <w:tc>
          <w:tcPr>
            <w:tcW w:w="5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FCE783">
            <w:pPr>
              <w:jc w:val="center"/>
              <w:rPr>
                <w:rFonts w:ascii="宋体" w:hAnsi="宋体" w:cs="宋体"/>
                <w:color w:val="auto"/>
                <w:sz w:val="21"/>
                <w:szCs w:val="21"/>
              </w:rPr>
            </w:pPr>
          </w:p>
        </w:tc>
      </w:tr>
      <w:tr w14:paraId="0AA1AB30">
        <w:tblPrEx>
          <w:tblCellMar>
            <w:top w:w="0" w:type="dxa"/>
            <w:left w:w="108" w:type="dxa"/>
            <w:bottom w:w="0" w:type="dxa"/>
            <w:right w:w="108" w:type="dxa"/>
          </w:tblCellMar>
        </w:tblPrEx>
        <w:trPr>
          <w:trHeight w:val="126"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89FD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转出原因</w:t>
            </w:r>
          </w:p>
        </w:tc>
        <w:tc>
          <w:tcPr>
            <w:tcW w:w="108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CCF902">
            <w:pPr>
              <w:jc w:val="center"/>
              <w:rPr>
                <w:rFonts w:ascii="宋体" w:hAnsi="宋体" w:cs="宋体"/>
                <w:color w:val="auto"/>
                <w:sz w:val="21"/>
                <w:szCs w:val="21"/>
              </w:rPr>
            </w:pPr>
          </w:p>
        </w:tc>
      </w:tr>
      <w:tr w14:paraId="275DBAEF">
        <w:tblPrEx>
          <w:tblCellMar>
            <w:top w:w="0" w:type="dxa"/>
            <w:left w:w="108" w:type="dxa"/>
            <w:bottom w:w="0" w:type="dxa"/>
            <w:right w:w="108" w:type="dxa"/>
          </w:tblCellMar>
        </w:tblPrEx>
        <w:trPr>
          <w:trHeight w:val="1100" w:hRule="atLeast"/>
          <w:jc w:val="center"/>
        </w:trPr>
        <w:tc>
          <w:tcPr>
            <w:tcW w:w="131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C2AD290">
            <w:pPr>
              <w:jc w:val="left"/>
              <w:rPr>
                <w:rFonts w:ascii="宋体" w:hAnsi="宋体" w:cs="宋体"/>
                <w:color w:val="auto"/>
                <w:kern w:val="0"/>
                <w:sz w:val="21"/>
                <w:szCs w:val="21"/>
              </w:rPr>
            </w:pPr>
            <w:r>
              <w:rPr>
                <w:rFonts w:hint="eastAsia" w:ascii="宋体" w:hAnsi="宋体" w:cs="宋体"/>
                <w:color w:val="auto"/>
                <w:kern w:val="0"/>
                <w:sz w:val="21"/>
                <w:szCs w:val="21"/>
              </w:rPr>
              <w:t>转出地县（市、区、旗）级社保机构意见：</w:t>
            </w:r>
          </w:p>
          <w:p w14:paraId="0DE12B6D">
            <w:pPr>
              <w:ind w:firstLine="210" w:firstLineChars="100"/>
              <w:jc w:val="left"/>
              <w:rPr>
                <w:rFonts w:ascii="宋体" w:hAnsi="宋体" w:cs="宋体"/>
                <w:color w:val="auto"/>
                <w:kern w:val="0"/>
                <w:sz w:val="21"/>
                <w:szCs w:val="21"/>
              </w:rPr>
            </w:pPr>
            <w:r>
              <w:rPr>
                <w:rFonts w:hint="eastAsia" w:ascii="宋体" w:hAnsi="宋体" w:cs="宋体"/>
                <w:color w:val="auto"/>
                <w:kern w:val="0"/>
                <w:sz w:val="21"/>
                <w:szCs w:val="21"/>
              </w:rPr>
              <w:t>经审核，该参保人员符合城乡居民基本养老保险转移条件，同意其从即日起转出城乡居民养老保险关系和个人账户储存额。</w:t>
            </w:r>
          </w:p>
          <w:p w14:paraId="798C19B8">
            <w:pPr>
              <w:ind w:firstLine="630" w:firstLineChars="300"/>
              <w:jc w:val="center"/>
              <w:rPr>
                <w:rFonts w:ascii="宋体" w:hAnsi="宋体" w:cs="宋体"/>
                <w:color w:val="auto"/>
                <w:kern w:val="0"/>
                <w:sz w:val="21"/>
                <w:szCs w:val="21"/>
              </w:rPr>
            </w:pPr>
            <w:r>
              <w:rPr>
                <w:rFonts w:hint="eastAsia" w:ascii="宋体" w:hAnsi="宋体" w:cs="宋体"/>
                <w:color w:val="auto"/>
                <w:kern w:val="0"/>
                <w:sz w:val="21"/>
                <w:szCs w:val="21"/>
              </w:rPr>
              <w:t xml:space="preserve">                                                      经办人：</w:t>
            </w:r>
          </w:p>
          <w:p w14:paraId="15EBC5DA">
            <w:pPr>
              <w:ind w:firstLine="630" w:firstLineChars="300"/>
              <w:jc w:val="center"/>
              <w:rPr>
                <w:rFonts w:ascii="宋体" w:hAnsi="宋体" w:cs="宋体"/>
                <w:color w:val="auto"/>
                <w:kern w:val="0"/>
                <w:sz w:val="21"/>
                <w:szCs w:val="21"/>
              </w:rPr>
            </w:pPr>
            <w:r>
              <w:rPr>
                <w:rFonts w:hint="eastAsia" w:ascii="宋体" w:hAnsi="宋体" w:cs="宋体"/>
                <w:color w:val="auto"/>
                <w:kern w:val="0"/>
                <w:sz w:val="21"/>
                <w:szCs w:val="21"/>
              </w:rPr>
              <w:t xml:space="preserve">                                                                                年      月      日（签章）</w:t>
            </w:r>
          </w:p>
        </w:tc>
      </w:tr>
      <w:tr w14:paraId="70EFBDC2">
        <w:tblPrEx>
          <w:tblCellMar>
            <w:top w:w="0" w:type="dxa"/>
            <w:left w:w="108" w:type="dxa"/>
            <w:bottom w:w="0" w:type="dxa"/>
            <w:right w:w="108" w:type="dxa"/>
          </w:tblCellMar>
        </w:tblPrEx>
        <w:trPr>
          <w:trHeight w:val="285" w:hRule="atLeast"/>
          <w:jc w:val="center"/>
        </w:trPr>
        <w:tc>
          <w:tcPr>
            <w:tcW w:w="13164" w:type="dxa"/>
            <w:gridSpan w:val="12"/>
            <w:tcBorders>
              <w:top w:val="nil"/>
              <w:left w:val="nil"/>
              <w:bottom w:val="nil"/>
              <w:right w:val="nil"/>
            </w:tcBorders>
            <w:shd w:val="clear" w:color="auto" w:fill="auto"/>
            <w:vAlign w:val="center"/>
          </w:tcPr>
          <w:p w14:paraId="548E2228">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制表人：                      经办人：                              制表日期：    </w:t>
            </w:r>
          </w:p>
        </w:tc>
      </w:tr>
      <w:tr w14:paraId="6A4828D9">
        <w:tblPrEx>
          <w:tblCellMar>
            <w:top w:w="0" w:type="dxa"/>
            <w:left w:w="108" w:type="dxa"/>
            <w:bottom w:w="0" w:type="dxa"/>
            <w:right w:w="108" w:type="dxa"/>
          </w:tblCellMar>
        </w:tblPrEx>
        <w:trPr>
          <w:trHeight w:val="285" w:hRule="atLeast"/>
          <w:jc w:val="center"/>
        </w:trPr>
        <w:tc>
          <w:tcPr>
            <w:tcW w:w="13164" w:type="dxa"/>
            <w:gridSpan w:val="12"/>
            <w:tcBorders>
              <w:top w:val="nil"/>
              <w:left w:val="nil"/>
              <w:bottom w:val="nil"/>
              <w:right w:val="nil"/>
            </w:tcBorders>
            <w:shd w:val="clear" w:color="auto" w:fill="auto"/>
            <w:vAlign w:val="center"/>
          </w:tcPr>
          <w:p w14:paraId="0D79FF55">
            <w:pPr>
              <w:spacing w:line="400" w:lineRule="exact"/>
              <w:rPr>
                <w:rFonts w:ascii="宋体" w:hAnsi="宋体" w:cs="宋体"/>
                <w:color w:val="auto"/>
                <w:kern w:val="0"/>
                <w:sz w:val="21"/>
                <w:szCs w:val="21"/>
              </w:rPr>
            </w:pPr>
            <w:r>
              <w:rPr>
                <w:rFonts w:hint="eastAsia" w:ascii="宋体" w:hAnsi="宋体" w:cs="宋体"/>
                <w:b/>
                <w:bCs/>
                <w:color w:val="auto"/>
                <w:kern w:val="0"/>
                <w:sz w:val="21"/>
                <w:szCs w:val="21"/>
              </w:rPr>
              <w:t>注：</w:t>
            </w:r>
            <w:r>
              <w:rPr>
                <w:rFonts w:hint="eastAsia" w:ascii="宋体" w:hAnsi="宋体" w:cs="宋体"/>
                <w:color w:val="auto"/>
                <w:kern w:val="0"/>
                <w:sz w:val="21"/>
                <w:szCs w:val="21"/>
              </w:rPr>
              <w:t>此表由转出地县社保机构通过信息系统打印生成。一式两份，转入地、转出地县社保机构各留存一份。</w:t>
            </w:r>
          </w:p>
        </w:tc>
      </w:tr>
    </w:tbl>
    <w:p w14:paraId="5ACF824B">
      <w:pPr>
        <w:tabs>
          <w:tab w:val="left" w:pos="937"/>
        </w:tabs>
        <w:jc w:val="left"/>
        <w:rPr>
          <w:rFonts w:ascii="黑体" w:hAnsi="黑体" w:eastAsia="黑体" w:cs="黑体"/>
          <w:color w:val="auto"/>
          <w:kern w:val="0"/>
          <w:sz w:val="32"/>
          <w:szCs w:val="32"/>
        </w:rPr>
      </w:pPr>
      <w:r>
        <w:rPr>
          <w:color w:val="auto"/>
        </w:rPr>
        <w:br w:type="page"/>
      </w:r>
      <w:r>
        <w:rPr>
          <w:rFonts w:hint="eastAsia" w:ascii="黑体" w:hAnsi="黑体" w:eastAsia="黑体" w:cs="黑体"/>
          <w:color w:val="auto"/>
          <w:kern w:val="0"/>
          <w:sz w:val="32"/>
          <w:szCs w:val="32"/>
        </w:rPr>
        <w:t>附件15</w:t>
      </w:r>
    </w:p>
    <w:p w14:paraId="75915804">
      <w:pPr>
        <w:tabs>
          <w:tab w:val="left" w:pos="937"/>
        </w:tabs>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w:t>
      </w:r>
      <w:r>
        <w:rPr>
          <w:rFonts w:hint="eastAsia" w:ascii="方正小标宋简体" w:hAnsi="方正小标宋简体" w:eastAsia="方正小标宋简体" w:cs="方正小标宋简体"/>
          <w:color w:val="auto"/>
          <w:kern w:val="0"/>
          <w:sz w:val="44"/>
          <w:szCs w:val="44"/>
          <w:lang w:eastAsia="zh-CN"/>
        </w:rPr>
        <w:t>个人</w:t>
      </w:r>
      <w:r>
        <w:rPr>
          <w:rFonts w:hint="eastAsia" w:ascii="方正小标宋简体" w:hAnsi="方正小标宋简体" w:eastAsia="方正小标宋简体" w:cs="方正小标宋简体"/>
          <w:color w:val="auto"/>
          <w:kern w:val="0"/>
          <w:sz w:val="44"/>
          <w:szCs w:val="44"/>
        </w:rPr>
        <w:t>账户归集信息表</w:t>
      </w:r>
    </w:p>
    <w:tbl>
      <w:tblPr>
        <w:tblStyle w:val="8"/>
        <w:tblW w:w="13750" w:type="dxa"/>
        <w:tblInd w:w="0" w:type="dxa"/>
        <w:tblLayout w:type="fixed"/>
        <w:tblCellMar>
          <w:top w:w="0" w:type="dxa"/>
          <w:left w:w="108" w:type="dxa"/>
          <w:bottom w:w="0" w:type="dxa"/>
          <w:right w:w="108" w:type="dxa"/>
        </w:tblCellMar>
      </w:tblPr>
      <w:tblGrid>
        <w:gridCol w:w="708"/>
        <w:gridCol w:w="1277"/>
        <w:gridCol w:w="1276"/>
        <w:gridCol w:w="850"/>
        <w:gridCol w:w="930"/>
        <w:gridCol w:w="960"/>
        <w:gridCol w:w="1644"/>
        <w:gridCol w:w="1706"/>
        <w:gridCol w:w="5"/>
        <w:gridCol w:w="1701"/>
        <w:gridCol w:w="1532"/>
        <w:gridCol w:w="1161"/>
      </w:tblGrid>
      <w:tr w14:paraId="7438E41B">
        <w:tblPrEx>
          <w:tblCellMar>
            <w:top w:w="0" w:type="dxa"/>
            <w:left w:w="108" w:type="dxa"/>
            <w:bottom w:w="0" w:type="dxa"/>
            <w:right w:w="108" w:type="dxa"/>
          </w:tblCellMar>
        </w:tblPrEx>
        <w:trPr>
          <w:trHeight w:val="285" w:hRule="atLeast"/>
        </w:trPr>
        <w:tc>
          <w:tcPr>
            <w:tcW w:w="1985" w:type="dxa"/>
            <w:gridSpan w:val="2"/>
            <w:tcBorders>
              <w:top w:val="nil"/>
              <w:left w:val="nil"/>
              <w:bottom w:val="nil"/>
              <w:right w:val="nil"/>
            </w:tcBorders>
            <w:shd w:val="clear" w:color="auto" w:fill="auto"/>
            <w:vAlign w:val="center"/>
          </w:tcPr>
          <w:p w14:paraId="5A9FAB9C">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县（市、区）:</w:t>
            </w:r>
          </w:p>
        </w:tc>
        <w:tc>
          <w:tcPr>
            <w:tcW w:w="1276" w:type="dxa"/>
            <w:tcBorders>
              <w:top w:val="nil"/>
              <w:left w:val="nil"/>
              <w:bottom w:val="nil"/>
              <w:right w:val="nil"/>
            </w:tcBorders>
            <w:shd w:val="clear" w:color="auto" w:fill="auto"/>
            <w:vAlign w:val="center"/>
          </w:tcPr>
          <w:p w14:paraId="5D44438D">
            <w:pPr>
              <w:widowControl/>
              <w:jc w:val="left"/>
              <w:textAlignment w:val="bottom"/>
              <w:rPr>
                <w:rFonts w:ascii="宋体" w:hAnsi="宋体" w:cs="宋体"/>
                <w:color w:val="auto"/>
                <w:kern w:val="0"/>
                <w:sz w:val="21"/>
                <w:szCs w:val="21"/>
              </w:rPr>
            </w:pPr>
          </w:p>
        </w:tc>
        <w:tc>
          <w:tcPr>
            <w:tcW w:w="850" w:type="dxa"/>
            <w:tcBorders>
              <w:top w:val="nil"/>
              <w:left w:val="nil"/>
              <w:bottom w:val="nil"/>
              <w:right w:val="nil"/>
            </w:tcBorders>
            <w:shd w:val="clear" w:color="auto" w:fill="auto"/>
            <w:vAlign w:val="center"/>
          </w:tcPr>
          <w:p w14:paraId="6680B78A">
            <w:pPr>
              <w:widowControl/>
              <w:jc w:val="left"/>
              <w:textAlignment w:val="bottom"/>
              <w:rPr>
                <w:rFonts w:ascii="宋体" w:hAnsi="宋体" w:cs="宋体"/>
                <w:color w:val="auto"/>
                <w:kern w:val="0"/>
                <w:sz w:val="21"/>
                <w:szCs w:val="21"/>
              </w:rPr>
            </w:pPr>
          </w:p>
        </w:tc>
        <w:tc>
          <w:tcPr>
            <w:tcW w:w="930" w:type="dxa"/>
            <w:tcBorders>
              <w:top w:val="nil"/>
              <w:left w:val="nil"/>
              <w:bottom w:val="nil"/>
              <w:right w:val="nil"/>
            </w:tcBorders>
            <w:shd w:val="clear" w:color="auto" w:fill="auto"/>
            <w:vAlign w:val="center"/>
          </w:tcPr>
          <w:p w14:paraId="0E80A48B">
            <w:pPr>
              <w:widowControl/>
              <w:jc w:val="left"/>
              <w:textAlignment w:val="bottom"/>
              <w:rPr>
                <w:rFonts w:ascii="宋体" w:hAnsi="宋体" w:cs="宋体"/>
                <w:color w:val="auto"/>
                <w:kern w:val="0"/>
                <w:sz w:val="21"/>
                <w:szCs w:val="21"/>
              </w:rPr>
            </w:pPr>
          </w:p>
        </w:tc>
        <w:tc>
          <w:tcPr>
            <w:tcW w:w="960" w:type="dxa"/>
            <w:tcBorders>
              <w:top w:val="nil"/>
              <w:left w:val="nil"/>
              <w:bottom w:val="nil"/>
              <w:right w:val="nil"/>
            </w:tcBorders>
            <w:shd w:val="clear" w:color="auto" w:fill="auto"/>
            <w:vAlign w:val="center"/>
          </w:tcPr>
          <w:p w14:paraId="0CA8C8F5">
            <w:pPr>
              <w:widowControl/>
              <w:jc w:val="left"/>
              <w:textAlignment w:val="bottom"/>
              <w:rPr>
                <w:rFonts w:ascii="宋体" w:hAnsi="宋体" w:cs="宋体"/>
                <w:color w:val="auto"/>
                <w:kern w:val="0"/>
                <w:sz w:val="21"/>
                <w:szCs w:val="21"/>
              </w:rPr>
            </w:pPr>
          </w:p>
        </w:tc>
        <w:tc>
          <w:tcPr>
            <w:tcW w:w="1644" w:type="dxa"/>
            <w:tcBorders>
              <w:top w:val="nil"/>
              <w:left w:val="nil"/>
              <w:bottom w:val="nil"/>
              <w:right w:val="nil"/>
            </w:tcBorders>
            <w:shd w:val="clear" w:color="auto" w:fill="auto"/>
            <w:vAlign w:val="center"/>
          </w:tcPr>
          <w:p w14:paraId="70EDECE6">
            <w:pPr>
              <w:widowControl/>
              <w:jc w:val="left"/>
              <w:textAlignment w:val="bottom"/>
              <w:rPr>
                <w:rFonts w:ascii="宋体" w:hAnsi="宋体" w:cs="宋体"/>
                <w:color w:val="auto"/>
                <w:kern w:val="0"/>
                <w:sz w:val="21"/>
                <w:szCs w:val="21"/>
              </w:rPr>
            </w:pPr>
          </w:p>
        </w:tc>
        <w:tc>
          <w:tcPr>
            <w:tcW w:w="1711" w:type="dxa"/>
            <w:gridSpan w:val="2"/>
            <w:tcBorders>
              <w:top w:val="nil"/>
              <w:left w:val="nil"/>
              <w:bottom w:val="nil"/>
              <w:right w:val="nil"/>
            </w:tcBorders>
            <w:shd w:val="clear" w:color="auto" w:fill="auto"/>
            <w:vAlign w:val="center"/>
          </w:tcPr>
          <w:p w14:paraId="68955EFF">
            <w:pPr>
              <w:widowControl/>
              <w:jc w:val="left"/>
              <w:textAlignment w:val="bottom"/>
              <w:rPr>
                <w:rFonts w:ascii="宋体" w:hAnsi="宋体" w:cs="宋体"/>
                <w:color w:val="auto"/>
                <w:kern w:val="0"/>
                <w:sz w:val="21"/>
                <w:szCs w:val="21"/>
              </w:rPr>
            </w:pPr>
          </w:p>
        </w:tc>
        <w:tc>
          <w:tcPr>
            <w:tcW w:w="4394" w:type="dxa"/>
            <w:gridSpan w:val="3"/>
            <w:tcBorders>
              <w:top w:val="nil"/>
              <w:left w:val="nil"/>
              <w:bottom w:val="nil"/>
              <w:right w:val="nil"/>
            </w:tcBorders>
            <w:shd w:val="clear" w:color="auto" w:fill="auto"/>
            <w:vAlign w:val="center"/>
          </w:tcPr>
          <w:p w14:paraId="7E4134DB">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 xml:space="preserve">时间： </w:t>
            </w:r>
            <w:r>
              <w:rPr>
                <w:rFonts w:ascii="宋体" w:hAnsi="宋体" w:cs="宋体"/>
                <w:color w:val="auto"/>
                <w:kern w:val="0"/>
                <w:sz w:val="21"/>
                <w:szCs w:val="21"/>
              </w:rPr>
              <w:t xml:space="preserve">  </w:t>
            </w:r>
            <w:r>
              <w:rPr>
                <w:rFonts w:hint="eastAsia" w:ascii="宋体" w:hAnsi="宋体" w:cs="宋体"/>
                <w:color w:val="auto"/>
                <w:kern w:val="0"/>
                <w:sz w:val="21"/>
                <w:szCs w:val="21"/>
              </w:rPr>
              <w:t xml:space="preserve">   年      月      日</w:t>
            </w:r>
          </w:p>
        </w:tc>
      </w:tr>
      <w:tr w14:paraId="0579F7F0">
        <w:tblPrEx>
          <w:tblCellMar>
            <w:top w:w="0" w:type="dxa"/>
            <w:left w:w="108" w:type="dxa"/>
            <w:bottom w:w="0" w:type="dxa"/>
            <w:right w:w="108" w:type="dxa"/>
          </w:tblCellMar>
        </w:tblPrEx>
        <w:trPr>
          <w:trHeight w:val="345"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DDCC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A8D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FA8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性别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0933">
            <w:pPr>
              <w:widowControl/>
              <w:jc w:val="left"/>
              <w:textAlignment w:val="center"/>
              <w:rPr>
                <w:rFonts w:ascii="宋体" w:hAnsi="宋体" w:cs="宋体"/>
                <w:color w:val="auto"/>
                <w:sz w:val="21"/>
                <w:szCs w:val="21"/>
              </w:rPr>
            </w:pP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4CEB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AE1A3">
            <w:pPr>
              <w:widowControl/>
              <w:jc w:val="center"/>
              <w:textAlignment w:val="center"/>
              <w:rPr>
                <w:rFonts w:ascii="宋体" w:hAnsi="宋体" w:cs="宋体"/>
                <w:color w:val="auto"/>
                <w:sz w:val="21"/>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2BB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B3E7B">
            <w:pPr>
              <w:widowControl/>
              <w:jc w:val="center"/>
              <w:textAlignment w:val="center"/>
              <w:rPr>
                <w:rFonts w:ascii="宋体" w:hAnsi="宋体" w:cs="宋体"/>
                <w:color w:val="auto"/>
                <w:sz w:val="21"/>
                <w:szCs w:val="21"/>
              </w:rPr>
            </w:pPr>
          </w:p>
        </w:tc>
      </w:tr>
      <w:tr w14:paraId="4CDD867F">
        <w:tblPrEx>
          <w:tblCellMar>
            <w:top w:w="0" w:type="dxa"/>
            <w:left w:w="108" w:type="dxa"/>
            <w:bottom w:w="0" w:type="dxa"/>
            <w:right w:w="108" w:type="dxa"/>
          </w:tblCellMar>
        </w:tblPrEx>
        <w:trPr>
          <w:trHeight w:val="284"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02F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待归集地社保机构</w:t>
            </w:r>
          </w:p>
        </w:tc>
        <w:tc>
          <w:tcPr>
            <w:tcW w:w="305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5E6A0A3">
            <w:pPr>
              <w:widowControl/>
              <w:jc w:val="left"/>
              <w:textAlignment w:val="center"/>
              <w:rPr>
                <w:rFonts w:ascii="宋体" w:hAnsi="宋体" w:cs="宋体"/>
                <w:color w:val="auto"/>
                <w:sz w:val="21"/>
                <w:szCs w:val="21"/>
              </w:rPr>
            </w:pP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F5E6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归集原因</w:t>
            </w:r>
          </w:p>
        </w:tc>
        <w:tc>
          <w:tcPr>
            <w:tcW w:w="171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F07FB58">
            <w:pPr>
              <w:widowControl/>
              <w:jc w:val="center"/>
              <w:textAlignment w:val="center"/>
              <w:rPr>
                <w:rFonts w:ascii="宋体" w:hAnsi="宋体" w:cs="宋体"/>
                <w:color w:val="auto"/>
                <w:sz w:val="21"/>
                <w:szCs w:val="21"/>
              </w:rPr>
            </w:pP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02A4B1E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参</w:t>
            </w:r>
            <w:r>
              <w:rPr>
                <w:rFonts w:ascii="宋体" w:hAnsi="宋体" w:cs="宋体"/>
                <w:color w:val="auto"/>
                <w:kern w:val="0"/>
                <w:sz w:val="21"/>
                <w:szCs w:val="21"/>
              </w:rPr>
              <w:t>保人</w:t>
            </w:r>
            <w:r>
              <w:rPr>
                <w:rFonts w:hint="eastAsia" w:ascii="宋体" w:hAnsi="宋体" w:cs="宋体"/>
                <w:color w:val="auto"/>
                <w:kern w:val="0"/>
                <w:sz w:val="21"/>
                <w:szCs w:val="21"/>
              </w:rPr>
              <w:t>联系电话</w:t>
            </w:r>
          </w:p>
        </w:tc>
        <w:tc>
          <w:tcPr>
            <w:tcW w:w="26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E763EF5">
            <w:pPr>
              <w:widowControl/>
              <w:jc w:val="center"/>
              <w:textAlignment w:val="center"/>
              <w:rPr>
                <w:rFonts w:ascii="宋体" w:hAnsi="宋体" w:cs="宋体"/>
                <w:color w:val="auto"/>
                <w:sz w:val="21"/>
                <w:szCs w:val="21"/>
              </w:rPr>
            </w:pPr>
          </w:p>
        </w:tc>
      </w:tr>
      <w:tr w14:paraId="3D42014D">
        <w:tblPrEx>
          <w:tblCellMar>
            <w:top w:w="0" w:type="dxa"/>
            <w:left w:w="108" w:type="dxa"/>
            <w:bottom w:w="0" w:type="dxa"/>
            <w:right w:w="108" w:type="dxa"/>
          </w:tblCellMar>
        </w:tblPrEx>
        <w:trPr>
          <w:trHeight w:val="330"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A96CC2">
            <w:pPr>
              <w:jc w:val="center"/>
              <w:rPr>
                <w:rFonts w:ascii="宋体" w:hAnsi="宋体" w:cs="宋体"/>
                <w:color w:val="auto"/>
                <w:sz w:val="21"/>
                <w:szCs w:val="21"/>
              </w:rPr>
            </w:pPr>
            <w:r>
              <w:rPr>
                <w:rFonts w:hint="eastAsia" w:ascii="宋体" w:hAnsi="宋体" w:cs="宋体"/>
                <w:b/>
                <w:bCs/>
                <w:color w:val="auto"/>
                <w:kern w:val="0"/>
                <w:sz w:val="21"/>
                <w:szCs w:val="21"/>
              </w:rPr>
              <w:t>归集地社保机构信息</w:t>
            </w:r>
          </w:p>
        </w:tc>
      </w:tr>
      <w:tr w14:paraId="655882BC">
        <w:tblPrEx>
          <w:tblCellMar>
            <w:top w:w="0" w:type="dxa"/>
            <w:left w:w="108" w:type="dxa"/>
            <w:bottom w:w="0" w:type="dxa"/>
            <w:right w:w="108" w:type="dxa"/>
          </w:tblCellMar>
        </w:tblPrEx>
        <w:trPr>
          <w:trHeight w:val="306"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1EEC5">
            <w:pPr>
              <w:widowControl/>
              <w:textAlignment w:val="center"/>
              <w:rPr>
                <w:rFonts w:ascii="宋体" w:hAnsi="宋体" w:cs="宋体"/>
                <w:color w:val="auto"/>
                <w:kern w:val="0"/>
                <w:sz w:val="21"/>
                <w:szCs w:val="21"/>
              </w:rPr>
            </w:pPr>
            <w:r>
              <w:rPr>
                <w:rFonts w:hint="eastAsia" w:ascii="宋体" w:hAnsi="宋体" w:cs="宋体"/>
                <w:color w:val="auto"/>
                <w:kern w:val="0"/>
                <w:sz w:val="21"/>
                <w:szCs w:val="21"/>
              </w:rPr>
              <w:t>社保机构名称</w:t>
            </w:r>
          </w:p>
        </w:tc>
        <w:tc>
          <w:tcPr>
            <w:tcW w:w="3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E5345">
            <w:pPr>
              <w:widowControl/>
              <w:jc w:val="center"/>
              <w:textAlignment w:val="center"/>
              <w:rPr>
                <w:rFonts w:hint="eastAsia" w:ascii="宋体" w:hAnsi="宋体" w:cs="宋体"/>
                <w:color w:val="auto"/>
                <w:kern w:val="0"/>
                <w:sz w:val="21"/>
                <w:szCs w:val="21"/>
              </w:rPr>
            </w:pP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48DC3">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联系</w:t>
            </w:r>
            <w:r>
              <w:rPr>
                <w:rFonts w:ascii="宋体" w:hAnsi="宋体" w:cs="宋体"/>
                <w:color w:val="auto"/>
                <w:kern w:val="0"/>
                <w:sz w:val="21"/>
                <w:szCs w:val="21"/>
              </w:rPr>
              <w:t>电话</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766C2">
            <w:pPr>
              <w:jc w:val="center"/>
              <w:rPr>
                <w:rFonts w:ascii="宋体" w:hAnsi="宋体" w:cs="宋体"/>
                <w:color w:val="auto"/>
                <w:sz w:val="21"/>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E85">
            <w:pPr>
              <w:jc w:val="center"/>
              <w:rPr>
                <w:rFonts w:ascii="宋体" w:hAnsi="宋体" w:cs="宋体"/>
                <w:color w:val="auto"/>
                <w:sz w:val="21"/>
                <w:szCs w:val="21"/>
              </w:rPr>
            </w:pPr>
            <w:r>
              <w:rPr>
                <w:rFonts w:hint="eastAsia" w:ascii="宋体" w:hAnsi="宋体" w:cs="宋体"/>
                <w:color w:val="auto"/>
                <w:kern w:val="0"/>
                <w:sz w:val="21"/>
                <w:szCs w:val="21"/>
              </w:rPr>
              <w:t>开户行</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3B239">
            <w:pPr>
              <w:jc w:val="center"/>
              <w:rPr>
                <w:rFonts w:ascii="宋体" w:hAnsi="宋体" w:cs="宋体"/>
                <w:color w:val="auto"/>
                <w:sz w:val="21"/>
                <w:szCs w:val="21"/>
              </w:rPr>
            </w:pPr>
          </w:p>
        </w:tc>
      </w:tr>
      <w:tr w14:paraId="39736534">
        <w:tblPrEx>
          <w:tblCellMar>
            <w:top w:w="0" w:type="dxa"/>
            <w:left w:w="108" w:type="dxa"/>
            <w:bottom w:w="0" w:type="dxa"/>
            <w:right w:w="108" w:type="dxa"/>
          </w:tblCellMar>
        </w:tblPrEx>
        <w:trPr>
          <w:trHeight w:val="294"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ECDA">
            <w:pPr>
              <w:widowControl/>
              <w:jc w:val="center"/>
              <w:textAlignment w:val="center"/>
              <w:rPr>
                <w:rFonts w:ascii="宋体" w:hAnsi="宋体" w:cs="宋体"/>
                <w:color w:val="auto"/>
                <w:kern w:val="0"/>
                <w:sz w:val="21"/>
                <w:szCs w:val="21"/>
              </w:rPr>
            </w:pPr>
            <w:r>
              <w:rPr>
                <w:rFonts w:hint="eastAsia" w:ascii="宋体" w:hAnsi="宋体" w:cs="宋体"/>
                <w:color w:val="auto"/>
                <w:sz w:val="21"/>
                <w:szCs w:val="21"/>
              </w:rPr>
              <w:t>账户名</w:t>
            </w:r>
          </w:p>
        </w:tc>
        <w:tc>
          <w:tcPr>
            <w:tcW w:w="305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E68C21">
            <w:pPr>
              <w:widowControl/>
              <w:jc w:val="center"/>
              <w:textAlignment w:val="center"/>
              <w:rPr>
                <w:rFonts w:ascii="宋体" w:hAnsi="宋体" w:cs="宋体"/>
                <w:color w:val="auto"/>
                <w:kern w:val="0"/>
                <w:sz w:val="21"/>
                <w:szCs w:val="21"/>
              </w:rPr>
            </w:pPr>
          </w:p>
        </w:tc>
        <w:tc>
          <w:tcPr>
            <w:tcW w:w="260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932FCF2">
            <w:pPr>
              <w:widowControl/>
              <w:jc w:val="center"/>
              <w:textAlignment w:val="center"/>
              <w:rPr>
                <w:rFonts w:ascii="宋体" w:hAnsi="宋体" w:cs="宋体"/>
                <w:color w:val="auto"/>
                <w:kern w:val="0"/>
                <w:sz w:val="21"/>
                <w:szCs w:val="21"/>
              </w:rPr>
            </w:pPr>
            <w:r>
              <w:rPr>
                <w:rFonts w:hint="eastAsia" w:ascii="宋体" w:hAnsi="宋体" w:cs="宋体"/>
                <w:color w:val="auto"/>
                <w:sz w:val="21"/>
                <w:szCs w:val="21"/>
              </w:rPr>
              <w:t>银行账号</w:t>
            </w:r>
          </w:p>
        </w:tc>
        <w:tc>
          <w:tcPr>
            <w:tcW w:w="171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61D00D">
            <w:pPr>
              <w:jc w:val="center"/>
              <w:rPr>
                <w:rFonts w:ascii="宋体" w:hAnsi="宋体" w:cs="宋体"/>
                <w:color w:val="auto"/>
                <w:sz w:val="21"/>
                <w:szCs w:val="21"/>
              </w:rPr>
            </w:pPr>
          </w:p>
        </w:tc>
        <w:tc>
          <w:tcPr>
            <w:tcW w:w="1701" w:type="dxa"/>
            <w:tcBorders>
              <w:top w:val="single" w:color="000000" w:sz="4" w:space="0"/>
              <w:left w:val="single" w:color="auto" w:sz="4" w:space="0"/>
              <w:bottom w:val="single" w:color="000000" w:sz="4" w:space="0"/>
              <w:right w:val="single" w:color="auto" w:sz="4" w:space="0"/>
            </w:tcBorders>
            <w:shd w:val="clear" w:color="auto" w:fill="auto"/>
            <w:vAlign w:val="center"/>
          </w:tcPr>
          <w:p w14:paraId="166C4160">
            <w:pPr>
              <w:jc w:val="center"/>
              <w:rPr>
                <w:rFonts w:ascii="宋体" w:hAnsi="宋体" w:cs="宋体"/>
                <w:color w:val="auto"/>
                <w:sz w:val="21"/>
                <w:szCs w:val="21"/>
              </w:rPr>
            </w:pPr>
            <w:r>
              <w:rPr>
                <w:rFonts w:hint="eastAsia" w:ascii="宋体" w:hAnsi="宋体" w:cs="宋体"/>
                <w:color w:val="auto"/>
                <w:sz w:val="21"/>
                <w:szCs w:val="21"/>
              </w:rPr>
              <w:t>银行行号</w:t>
            </w:r>
          </w:p>
        </w:tc>
        <w:tc>
          <w:tcPr>
            <w:tcW w:w="26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ECE28A">
            <w:pPr>
              <w:jc w:val="center"/>
              <w:rPr>
                <w:rFonts w:ascii="宋体" w:hAnsi="宋体" w:cs="宋体"/>
                <w:color w:val="auto"/>
                <w:sz w:val="21"/>
                <w:szCs w:val="21"/>
              </w:rPr>
            </w:pPr>
          </w:p>
        </w:tc>
      </w:tr>
      <w:tr w14:paraId="6FC8E959">
        <w:tblPrEx>
          <w:tblCellMar>
            <w:top w:w="0" w:type="dxa"/>
            <w:left w:w="108" w:type="dxa"/>
            <w:bottom w:w="0" w:type="dxa"/>
            <w:right w:w="108" w:type="dxa"/>
          </w:tblCellMar>
        </w:tblPrEx>
        <w:trPr>
          <w:trHeight w:val="194"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63E071D">
            <w:pPr>
              <w:widowControl/>
              <w:jc w:val="center"/>
              <w:textAlignment w:val="center"/>
              <w:rPr>
                <w:rFonts w:ascii="宋体" w:hAnsi="宋体" w:cs="宋体"/>
                <w:color w:val="auto"/>
                <w:kern w:val="0"/>
                <w:sz w:val="21"/>
                <w:szCs w:val="21"/>
              </w:rPr>
            </w:pPr>
            <w:r>
              <w:rPr>
                <w:rFonts w:hint="eastAsia" w:ascii="宋体" w:hAnsi="宋体" w:cs="宋体"/>
                <w:b/>
                <w:bCs/>
                <w:color w:val="auto"/>
                <w:kern w:val="0"/>
                <w:sz w:val="21"/>
                <w:szCs w:val="21"/>
              </w:rPr>
              <w:t>待归集地社保机构填写以下信息</w:t>
            </w:r>
          </w:p>
        </w:tc>
      </w:tr>
      <w:tr w14:paraId="68DD4A4A">
        <w:tblPrEx>
          <w:tblCellMar>
            <w:top w:w="0" w:type="dxa"/>
            <w:left w:w="108" w:type="dxa"/>
            <w:bottom w:w="0" w:type="dxa"/>
            <w:right w:w="108" w:type="dxa"/>
          </w:tblCellMar>
        </w:tblPrEx>
        <w:trPr>
          <w:trHeight w:val="194"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5D1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参保日期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E26C">
            <w:pPr>
              <w:widowControl/>
              <w:jc w:val="center"/>
              <w:textAlignment w:val="center"/>
              <w:rPr>
                <w:rFonts w:ascii="宋体" w:hAnsi="宋体" w:cs="宋体"/>
                <w:color w:val="auto"/>
                <w:kern w:val="0"/>
                <w:sz w:val="21"/>
                <w:szCs w:val="21"/>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D15F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缴费起始日期</w:t>
            </w:r>
          </w:p>
        </w:tc>
        <w:tc>
          <w:tcPr>
            <w:tcW w:w="260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34CF2D">
            <w:pPr>
              <w:widowControl/>
              <w:jc w:val="center"/>
              <w:textAlignment w:val="center"/>
              <w:rPr>
                <w:rFonts w:ascii="宋体" w:hAnsi="宋体" w:cs="宋体"/>
                <w:color w:val="auto"/>
                <w:kern w:val="0"/>
                <w:sz w:val="21"/>
                <w:szCs w:val="21"/>
              </w:rPr>
            </w:pPr>
          </w:p>
        </w:tc>
        <w:tc>
          <w:tcPr>
            <w:tcW w:w="1706" w:type="dxa"/>
            <w:tcBorders>
              <w:top w:val="single" w:color="000000" w:sz="4" w:space="0"/>
              <w:left w:val="single" w:color="auto" w:sz="4" w:space="0"/>
              <w:bottom w:val="single" w:color="000000" w:sz="4" w:space="0"/>
              <w:right w:val="single" w:color="auto" w:sz="4" w:space="0"/>
            </w:tcBorders>
            <w:shd w:val="clear" w:color="auto" w:fill="auto"/>
            <w:vAlign w:val="center"/>
          </w:tcPr>
          <w:p w14:paraId="349ABF0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缴费终止日期</w:t>
            </w:r>
          </w:p>
        </w:tc>
        <w:tc>
          <w:tcPr>
            <w:tcW w:w="170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6BE35C8">
            <w:pPr>
              <w:widowControl/>
              <w:jc w:val="center"/>
              <w:textAlignment w:val="center"/>
              <w:rPr>
                <w:rFonts w:ascii="宋体" w:hAnsi="宋体" w:cs="宋体"/>
                <w:color w:val="auto"/>
                <w:kern w:val="0"/>
                <w:sz w:val="21"/>
                <w:szCs w:val="21"/>
              </w:rPr>
            </w:pPr>
          </w:p>
        </w:tc>
        <w:tc>
          <w:tcPr>
            <w:tcW w:w="1532" w:type="dxa"/>
            <w:tcBorders>
              <w:top w:val="single" w:color="000000" w:sz="4" w:space="0"/>
              <w:left w:val="single" w:color="auto" w:sz="4" w:space="0"/>
              <w:bottom w:val="single" w:color="000000" w:sz="4" w:space="0"/>
              <w:right w:val="single" w:color="000000" w:sz="4" w:space="0"/>
            </w:tcBorders>
            <w:shd w:val="clear" w:color="auto" w:fill="auto"/>
            <w:vAlign w:val="center"/>
          </w:tcPr>
          <w:p w14:paraId="0111892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累计缴费年限</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5FA8">
            <w:pPr>
              <w:widowControl/>
              <w:jc w:val="center"/>
              <w:textAlignment w:val="center"/>
              <w:rPr>
                <w:rFonts w:ascii="宋体" w:hAnsi="宋体" w:cs="宋体"/>
                <w:color w:val="auto"/>
                <w:kern w:val="0"/>
                <w:sz w:val="21"/>
                <w:szCs w:val="21"/>
              </w:rPr>
            </w:pPr>
          </w:p>
        </w:tc>
      </w:tr>
      <w:tr w14:paraId="005530BF">
        <w:tblPrEx>
          <w:tblCellMar>
            <w:top w:w="0" w:type="dxa"/>
            <w:left w:w="108" w:type="dxa"/>
            <w:bottom w:w="0" w:type="dxa"/>
            <w:right w:w="108" w:type="dxa"/>
          </w:tblCellMar>
        </w:tblPrEx>
        <w:trPr>
          <w:trHeight w:val="395"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D2AEAE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历年个人账户明细（元）</w:t>
            </w:r>
          </w:p>
        </w:tc>
      </w:tr>
      <w:tr w14:paraId="4930E09D">
        <w:tblPrEx>
          <w:tblCellMar>
            <w:top w:w="0" w:type="dxa"/>
            <w:left w:w="108" w:type="dxa"/>
            <w:bottom w:w="0" w:type="dxa"/>
            <w:right w:w="108" w:type="dxa"/>
          </w:tblCellMar>
        </w:tblPrEx>
        <w:trPr>
          <w:trHeight w:val="344"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368C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年份</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E69C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个人缴费</w:t>
            </w:r>
          </w:p>
        </w:tc>
        <w:tc>
          <w:tcPr>
            <w:tcW w:w="2126"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56DCD4A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补（资）助</w:t>
            </w:r>
          </w:p>
        </w:tc>
        <w:tc>
          <w:tcPr>
            <w:tcW w:w="3534" w:type="dxa"/>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06DDE7C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政府补贴</w:t>
            </w:r>
          </w:p>
        </w:tc>
        <w:tc>
          <w:tcPr>
            <w:tcW w:w="1711" w:type="dxa"/>
            <w:gridSpan w:val="2"/>
            <w:vMerge w:val="restart"/>
            <w:tcBorders>
              <w:top w:val="single" w:color="auto" w:sz="4" w:space="0"/>
              <w:left w:val="single" w:color="auto" w:sz="4" w:space="0"/>
              <w:right w:val="single" w:color="auto" w:sz="4" w:space="0"/>
            </w:tcBorders>
            <w:shd w:val="clear" w:color="auto" w:fill="auto"/>
            <w:vAlign w:val="center"/>
          </w:tcPr>
          <w:p w14:paraId="1264F5D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利息</w:t>
            </w:r>
          </w:p>
        </w:tc>
        <w:tc>
          <w:tcPr>
            <w:tcW w:w="1701" w:type="dxa"/>
            <w:vMerge w:val="restart"/>
            <w:tcBorders>
              <w:top w:val="single" w:color="auto" w:sz="4" w:space="0"/>
              <w:left w:val="single" w:color="auto" w:sz="4" w:space="0"/>
              <w:right w:val="single" w:color="auto" w:sz="4" w:space="0"/>
            </w:tcBorders>
            <w:shd w:val="clear" w:color="auto" w:fill="auto"/>
            <w:vAlign w:val="center"/>
          </w:tcPr>
          <w:p w14:paraId="1224A8F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其他</w:t>
            </w:r>
          </w:p>
        </w:tc>
        <w:tc>
          <w:tcPr>
            <w:tcW w:w="1532" w:type="dxa"/>
            <w:vMerge w:val="restart"/>
            <w:tcBorders>
              <w:top w:val="single" w:color="auto" w:sz="4" w:space="0"/>
              <w:left w:val="single" w:color="auto" w:sz="4" w:space="0"/>
              <w:right w:val="single" w:color="auto" w:sz="4" w:space="0"/>
            </w:tcBorders>
            <w:shd w:val="clear" w:color="auto" w:fill="auto"/>
            <w:vAlign w:val="center"/>
          </w:tcPr>
          <w:p w14:paraId="3E293FD3">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个人账户</w:t>
            </w:r>
          </w:p>
          <w:p w14:paraId="73ADD6B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累计储存额</w:t>
            </w:r>
          </w:p>
        </w:tc>
        <w:tc>
          <w:tcPr>
            <w:tcW w:w="1161" w:type="dxa"/>
            <w:vMerge w:val="restart"/>
            <w:tcBorders>
              <w:top w:val="single" w:color="auto" w:sz="4" w:space="0"/>
              <w:left w:val="single" w:color="auto" w:sz="4" w:space="0"/>
              <w:right w:val="single" w:color="auto" w:sz="4" w:space="0"/>
            </w:tcBorders>
            <w:shd w:val="clear" w:color="auto" w:fill="auto"/>
            <w:vAlign w:val="center"/>
          </w:tcPr>
          <w:p w14:paraId="3E4ED78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备注</w:t>
            </w:r>
          </w:p>
        </w:tc>
      </w:tr>
      <w:tr w14:paraId="61B7A638">
        <w:tblPrEx>
          <w:tblCellMar>
            <w:top w:w="0" w:type="dxa"/>
            <w:left w:w="108" w:type="dxa"/>
            <w:bottom w:w="0" w:type="dxa"/>
            <w:right w:w="108" w:type="dxa"/>
          </w:tblCellMar>
        </w:tblPrEx>
        <w:trPr>
          <w:trHeight w:val="266"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6390">
            <w:pPr>
              <w:jc w:val="center"/>
              <w:rPr>
                <w:rFonts w:ascii="宋体" w:hAnsi="宋体" w:cs="宋体"/>
                <w:color w:val="auto"/>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A05D">
            <w:pPr>
              <w:jc w:val="center"/>
              <w:rPr>
                <w:rFonts w:ascii="宋体" w:hAnsi="宋体" w:cs="宋体"/>
                <w:color w:val="auto"/>
                <w:sz w:val="21"/>
                <w:szCs w:val="21"/>
              </w:rPr>
            </w:pPr>
          </w:p>
        </w:tc>
        <w:tc>
          <w:tcPr>
            <w:tcW w:w="1276" w:type="dxa"/>
            <w:tcBorders>
              <w:top w:val="single" w:color="auto" w:sz="4" w:space="0"/>
              <w:left w:val="single" w:color="000000" w:sz="4" w:space="0"/>
              <w:bottom w:val="single" w:color="000000" w:sz="4" w:space="0"/>
              <w:right w:val="single" w:color="000000" w:sz="4" w:space="0"/>
            </w:tcBorders>
            <w:shd w:val="clear" w:color="auto" w:fill="auto"/>
            <w:vAlign w:val="center"/>
          </w:tcPr>
          <w:p w14:paraId="4A7837D8">
            <w:pPr>
              <w:widowControl/>
              <w:jc w:val="center"/>
              <w:textAlignment w:val="center"/>
              <w:rPr>
                <w:rFonts w:ascii="宋体" w:hAnsi="宋体" w:cs="宋体"/>
                <w:color w:val="auto"/>
                <w:sz w:val="21"/>
                <w:szCs w:val="21"/>
              </w:rPr>
            </w:pPr>
            <w:r>
              <w:rPr>
                <w:rFonts w:hint="eastAsia" w:ascii="宋体" w:hAnsi="宋体" w:cs="宋体"/>
                <w:color w:val="auto"/>
                <w:sz w:val="21"/>
                <w:szCs w:val="21"/>
              </w:rPr>
              <w:t>村</w:t>
            </w:r>
          </w:p>
        </w:tc>
        <w:tc>
          <w:tcPr>
            <w:tcW w:w="850" w:type="dxa"/>
            <w:tcBorders>
              <w:top w:val="single" w:color="auto" w:sz="4" w:space="0"/>
              <w:left w:val="single" w:color="000000" w:sz="4" w:space="0"/>
              <w:bottom w:val="single" w:color="000000" w:sz="4" w:space="0"/>
              <w:right w:val="single" w:color="auto" w:sz="4" w:space="0"/>
            </w:tcBorders>
            <w:shd w:val="clear" w:color="auto" w:fill="auto"/>
            <w:vAlign w:val="center"/>
          </w:tcPr>
          <w:p w14:paraId="77262259">
            <w:pPr>
              <w:widowControl/>
              <w:jc w:val="center"/>
              <w:textAlignment w:val="center"/>
              <w:rPr>
                <w:rFonts w:ascii="宋体" w:hAnsi="宋体" w:cs="宋体"/>
                <w:color w:val="auto"/>
                <w:sz w:val="21"/>
                <w:szCs w:val="21"/>
              </w:rPr>
            </w:pPr>
            <w:r>
              <w:rPr>
                <w:rFonts w:hint="eastAsia" w:ascii="宋体" w:hAnsi="宋体" w:cs="宋体"/>
                <w:color w:val="auto"/>
                <w:sz w:val="21"/>
                <w:szCs w:val="21"/>
              </w:rPr>
              <w:t>其他</w:t>
            </w:r>
          </w:p>
        </w:tc>
        <w:tc>
          <w:tcPr>
            <w:tcW w:w="930" w:type="dxa"/>
            <w:tcBorders>
              <w:top w:val="single" w:color="auto" w:sz="4" w:space="0"/>
              <w:left w:val="single" w:color="auto" w:sz="4" w:space="0"/>
              <w:bottom w:val="single" w:color="000000" w:sz="4" w:space="0"/>
              <w:right w:val="single" w:color="000000" w:sz="4" w:space="0"/>
            </w:tcBorders>
            <w:shd w:val="clear" w:color="auto" w:fill="auto"/>
            <w:vAlign w:val="center"/>
          </w:tcPr>
          <w:p w14:paraId="40DB4D4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省</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0B696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市</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14:paraId="302F5F7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县</w:t>
            </w:r>
          </w:p>
        </w:tc>
        <w:tc>
          <w:tcPr>
            <w:tcW w:w="1711" w:type="dxa"/>
            <w:gridSpan w:val="2"/>
            <w:vMerge w:val="continue"/>
            <w:tcBorders>
              <w:left w:val="single" w:color="auto" w:sz="4" w:space="0"/>
              <w:bottom w:val="single" w:color="auto" w:sz="4" w:space="0"/>
              <w:right w:val="single" w:color="auto" w:sz="4" w:space="0"/>
            </w:tcBorders>
            <w:shd w:val="clear" w:color="auto" w:fill="auto"/>
            <w:vAlign w:val="center"/>
          </w:tcPr>
          <w:p w14:paraId="4645464A">
            <w:pPr>
              <w:jc w:val="center"/>
              <w:rPr>
                <w:rFonts w:ascii="宋体" w:hAnsi="宋体" w:cs="宋体"/>
                <w:color w:val="auto"/>
                <w:sz w:val="21"/>
                <w:szCs w:val="21"/>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4C72BAF8">
            <w:pPr>
              <w:jc w:val="center"/>
              <w:rPr>
                <w:rFonts w:ascii="宋体" w:hAnsi="宋体" w:cs="宋体"/>
                <w:color w:val="auto"/>
                <w:sz w:val="21"/>
                <w:szCs w:val="21"/>
              </w:rPr>
            </w:pPr>
          </w:p>
        </w:tc>
        <w:tc>
          <w:tcPr>
            <w:tcW w:w="1532" w:type="dxa"/>
            <w:vMerge w:val="continue"/>
            <w:tcBorders>
              <w:left w:val="single" w:color="auto" w:sz="4" w:space="0"/>
              <w:bottom w:val="single" w:color="auto" w:sz="4" w:space="0"/>
              <w:right w:val="single" w:color="auto" w:sz="4" w:space="0"/>
            </w:tcBorders>
            <w:shd w:val="clear" w:color="auto" w:fill="auto"/>
            <w:vAlign w:val="center"/>
          </w:tcPr>
          <w:p w14:paraId="713E6F47">
            <w:pPr>
              <w:jc w:val="center"/>
              <w:rPr>
                <w:rFonts w:ascii="宋体" w:hAnsi="宋体" w:cs="宋体"/>
                <w:color w:val="auto"/>
                <w:sz w:val="21"/>
                <w:szCs w:val="21"/>
              </w:rPr>
            </w:pPr>
          </w:p>
        </w:tc>
        <w:tc>
          <w:tcPr>
            <w:tcW w:w="1161" w:type="dxa"/>
            <w:vMerge w:val="continue"/>
            <w:tcBorders>
              <w:left w:val="single" w:color="auto" w:sz="4" w:space="0"/>
              <w:bottom w:val="single" w:color="auto" w:sz="4" w:space="0"/>
              <w:right w:val="single" w:color="auto" w:sz="4" w:space="0"/>
            </w:tcBorders>
            <w:shd w:val="clear" w:color="auto" w:fill="auto"/>
            <w:vAlign w:val="center"/>
          </w:tcPr>
          <w:p w14:paraId="72DB094C">
            <w:pPr>
              <w:jc w:val="center"/>
              <w:rPr>
                <w:rFonts w:ascii="宋体" w:hAnsi="宋体" w:cs="宋体"/>
                <w:color w:val="auto"/>
                <w:sz w:val="21"/>
                <w:szCs w:val="21"/>
              </w:rPr>
            </w:pPr>
          </w:p>
        </w:tc>
      </w:tr>
      <w:tr w14:paraId="36E243D4">
        <w:tblPrEx>
          <w:tblCellMar>
            <w:top w:w="0" w:type="dxa"/>
            <w:left w:w="108" w:type="dxa"/>
            <w:bottom w:w="0" w:type="dxa"/>
            <w:right w:w="108" w:type="dxa"/>
          </w:tblCellMar>
        </w:tblPrEx>
        <w:trPr>
          <w:trHeight w:val="19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62E5">
            <w:pPr>
              <w:widowControl/>
              <w:jc w:val="center"/>
              <w:textAlignment w:val="center"/>
              <w:rPr>
                <w:rFonts w:ascii="宋体" w:hAnsi="宋体" w:cs="宋体"/>
                <w:color w:val="auto"/>
                <w:sz w:val="21"/>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8F6">
            <w:pPr>
              <w:widowControl/>
              <w:jc w:val="center"/>
              <w:textAlignment w:val="center"/>
              <w:rPr>
                <w:rFonts w:ascii="宋体" w:hAnsi="宋体" w:cs="宋体"/>
                <w:color w:val="auto"/>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50C9">
            <w:pPr>
              <w:widowControl/>
              <w:jc w:val="center"/>
              <w:textAlignment w:val="center"/>
              <w:rPr>
                <w:rFonts w:ascii="宋体" w:hAnsi="宋体" w:cs="宋体"/>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18A9">
            <w:pPr>
              <w:widowControl/>
              <w:jc w:val="center"/>
              <w:textAlignment w:val="center"/>
              <w:rPr>
                <w:rFonts w:ascii="宋体" w:hAnsi="宋体" w:cs="宋体"/>
                <w:color w:val="auto"/>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FC1">
            <w:pPr>
              <w:widowControl/>
              <w:jc w:val="center"/>
              <w:textAlignment w:val="center"/>
              <w:rPr>
                <w:rFonts w:ascii="宋体" w:hAnsi="宋体" w:cs="宋体"/>
                <w:color w:val="auto"/>
                <w:sz w:val="21"/>
                <w:szCs w:val="21"/>
              </w:rPr>
            </w:pP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4E228E">
            <w:pPr>
              <w:widowControl/>
              <w:jc w:val="center"/>
              <w:textAlignment w:val="center"/>
              <w:rPr>
                <w:rFonts w:ascii="宋体" w:hAnsi="宋体" w:cs="宋体"/>
                <w:color w:val="auto"/>
                <w:sz w:val="21"/>
                <w:szCs w:val="21"/>
              </w:rPr>
            </w:pP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14:paraId="4440DAC7">
            <w:pPr>
              <w:widowControl/>
              <w:jc w:val="center"/>
              <w:textAlignment w:val="center"/>
              <w:rPr>
                <w:rFonts w:ascii="宋体" w:hAnsi="宋体" w:cs="宋体"/>
                <w:color w:val="auto"/>
                <w:sz w:val="21"/>
                <w:szCs w:val="21"/>
              </w:rPr>
            </w:pPr>
          </w:p>
        </w:tc>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FB3E0">
            <w:pPr>
              <w:widowControl/>
              <w:jc w:val="center"/>
              <w:textAlignment w:val="center"/>
              <w:rPr>
                <w:rFonts w:ascii="宋体" w:hAnsi="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DD534F4">
            <w:pPr>
              <w:widowControl/>
              <w:jc w:val="center"/>
              <w:textAlignment w:val="center"/>
              <w:rPr>
                <w:rFonts w:ascii="宋体" w:hAnsi="宋体" w:cs="宋体"/>
                <w:color w:val="auto"/>
                <w:sz w:val="21"/>
                <w:szCs w:val="21"/>
              </w:rPr>
            </w:pP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14:paraId="5B3B3957">
            <w:pPr>
              <w:widowControl/>
              <w:jc w:val="center"/>
              <w:textAlignment w:val="center"/>
              <w:rPr>
                <w:rFonts w:ascii="宋体" w:hAnsi="宋体" w:cs="宋体"/>
                <w:color w:val="auto"/>
                <w:sz w:val="21"/>
                <w:szCs w:val="21"/>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347C18EB">
            <w:pPr>
              <w:jc w:val="center"/>
              <w:rPr>
                <w:rFonts w:ascii="宋体" w:hAnsi="宋体" w:cs="宋体"/>
                <w:color w:val="auto"/>
                <w:sz w:val="21"/>
                <w:szCs w:val="21"/>
              </w:rPr>
            </w:pPr>
          </w:p>
        </w:tc>
      </w:tr>
      <w:tr w14:paraId="2A66C2D2">
        <w:tblPrEx>
          <w:tblCellMar>
            <w:top w:w="0" w:type="dxa"/>
            <w:left w:w="108" w:type="dxa"/>
            <w:bottom w:w="0" w:type="dxa"/>
            <w:right w:w="108" w:type="dxa"/>
          </w:tblCellMar>
        </w:tblPrEx>
        <w:trPr>
          <w:trHeight w:val="19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7445">
            <w:pPr>
              <w:widowControl/>
              <w:jc w:val="center"/>
              <w:textAlignment w:val="center"/>
              <w:rPr>
                <w:rFonts w:ascii="宋体" w:hAnsi="宋体" w:cs="宋体"/>
                <w:color w:val="auto"/>
                <w:sz w:val="21"/>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C9DD">
            <w:pPr>
              <w:widowControl/>
              <w:jc w:val="center"/>
              <w:textAlignment w:val="center"/>
              <w:rPr>
                <w:rFonts w:ascii="宋体" w:hAnsi="宋体" w:cs="宋体"/>
                <w:color w:val="auto"/>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2F0C">
            <w:pPr>
              <w:widowControl/>
              <w:jc w:val="center"/>
              <w:textAlignment w:val="center"/>
              <w:rPr>
                <w:rFonts w:ascii="宋体" w:hAnsi="宋体" w:cs="宋体"/>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6C7">
            <w:pPr>
              <w:widowControl/>
              <w:jc w:val="center"/>
              <w:textAlignment w:val="center"/>
              <w:rPr>
                <w:rFonts w:ascii="宋体" w:hAnsi="宋体" w:cs="宋体"/>
                <w:color w:val="auto"/>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F599">
            <w:pPr>
              <w:widowControl/>
              <w:jc w:val="center"/>
              <w:textAlignment w:val="center"/>
              <w:rPr>
                <w:rFonts w:ascii="宋体" w:hAnsi="宋体" w:cs="宋体"/>
                <w:color w:val="auto"/>
                <w:sz w:val="21"/>
                <w:szCs w:val="21"/>
              </w:rPr>
            </w:pP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F56119">
            <w:pPr>
              <w:widowControl/>
              <w:jc w:val="center"/>
              <w:textAlignment w:val="center"/>
              <w:rPr>
                <w:rFonts w:ascii="宋体" w:hAnsi="宋体" w:cs="宋体"/>
                <w:color w:val="auto"/>
                <w:sz w:val="21"/>
                <w:szCs w:val="21"/>
              </w:rPr>
            </w:pP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14:paraId="2F029A63">
            <w:pPr>
              <w:widowControl/>
              <w:jc w:val="center"/>
              <w:textAlignment w:val="center"/>
              <w:rPr>
                <w:rFonts w:ascii="宋体" w:hAnsi="宋体" w:cs="宋体"/>
                <w:color w:val="auto"/>
                <w:sz w:val="21"/>
                <w:szCs w:val="21"/>
              </w:rPr>
            </w:pPr>
          </w:p>
        </w:tc>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1F95DD">
            <w:pPr>
              <w:widowControl/>
              <w:jc w:val="center"/>
              <w:textAlignment w:val="center"/>
              <w:rPr>
                <w:rFonts w:ascii="宋体" w:hAnsi="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4CC75B0">
            <w:pPr>
              <w:widowControl/>
              <w:jc w:val="center"/>
              <w:textAlignment w:val="center"/>
              <w:rPr>
                <w:rFonts w:ascii="宋体" w:hAnsi="宋体" w:cs="宋体"/>
                <w:color w:val="auto"/>
                <w:sz w:val="21"/>
                <w:szCs w:val="21"/>
              </w:rPr>
            </w:pP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14:paraId="36CF7FC6">
            <w:pPr>
              <w:widowControl/>
              <w:jc w:val="center"/>
              <w:textAlignment w:val="center"/>
              <w:rPr>
                <w:rFonts w:ascii="宋体" w:hAnsi="宋体" w:cs="宋体"/>
                <w:color w:val="auto"/>
                <w:sz w:val="21"/>
                <w:szCs w:val="21"/>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64D9E536">
            <w:pPr>
              <w:jc w:val="center"/>
              <w:rPr>
                <w:rFonts w:ascii="宋体" w:hAnsi="宋体" w:cs="宋体"/>
                <w:color w:val="auto"/>
                <w:sz w:val="21"/>
                <w:szCs w:val="21"/>
              </w:rPr>
            </w:pPr>
          </w:p>
        </w:tc>
      </w:tr>
      <w:tr w14:paraId="798E0AFD">
        <w:tblPrEx>
          <w:tblCellMar>
            <w:top w:w="0" w:type="dxa"/>
            <w:left w:w="108" w:type="dxa"/>
            <w:bottom w:w="0" w:type="dxa"/>
            <w:right w:w="108" w:type="dxa"/>
          </w:tblCellMar>
        </w:tblPrEx>
        <w:trPr>
          <w:trHeight w:val="19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FE39">
            <w:pPr>
              <w:widowControl/>
              <w:jc w:val="center"/>
              <w:textAlignment w:val="center"/>
              <w:rPr>
                <w:rFonts w:ascii="宋体" w:hAnsi="宋体" w:cs="宋体"/>
                <w:color w:val="auto"/>
                <w:sz w:val="21"/>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522">
            <w:pPr>
              <w:widowControl/>
              <w:jc w:val="center"/>
              <w:textAlignment w:val="center"/>
              <w:rPr>
                <w:rFonts w:ascii="宋体" w:hAnsi="宋体" w:cs="宋体"/>
                <w:color w:val="auto"/>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8024">
            <w:pPr>
              <w:widowControl/>
              <w:jc w:val="center"/>
              <w:textAlignment w:val="center"/>
              <w:rPr>
                <w:rFonts w:ascii="宋体" w:hAnsi="宋体" w:cs="宋体"/>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D286">
            <w:pPr>
              <w:widowControl/>
              <w:jc w:val="center"/>
              <w:textAlignment w:val="center"/>
              <w:rPr>
                <w:rFonts w:ascii="宋体" w:hAnsi="宋体" w:cs="宋体"/>
                <w:color w:val="auto"/>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986B">
            <w:pPr>
              <w:widowControl/>
              <w:jc w:val="center"/>
              <w:textAlignment w:val="center"/>
              <w:rPr>
                <w:rFonts w:ascii="宋体" w:hAnsi="宋体" w:cs="宋体"/>
                <w:color w:val="auto"/>
                <w:sz w:val="21"/>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C50">
            <w:pPr>
              <w:widowControl/>
              <w:jc w:val="center"/>
              <w:textAlignment w:val="center"/>
              <w:rPr>
                <w:rFonts w:ascii="宋体" w:hAnsi="宋体" w:cs="宋体"/>
                <w:color w:val="auto"/>
                <w:sz w:val="21"/>
                <w:szCs w:val="21"/>
              </w:rPr>
            </w:pPr>
          </w:p>
        </w:tc>
        <w:tc>
          <w:tcPr>
            <w:tcW w:w="1644" w:type="dxa"/>
            <w:tcBorders>
              <w:top w:val="single" w:color="auto" w:sz="4" w:space="0"/>
              <w:left w:val="single" w:color="000000" w:sz="4" w:space="0"/>
              <w:bottom w:val="single" w:color="000000" w:sz="4" w:space="0"/>
              <w:right w:val="single" w:color="auto" w:sz="4" w:space="0"/>
            </w:tcBorders>
            <w:shd w:val="clear" w:color="auto" w:fill="auto"/>
            <w:vAlign w:val="center"/>
          </w:tcPr>
          <w:p w14:paraId="4606891B">
            <w:pPr>
              <w:widowControl/>
              <w:jc w:val="center"/>
              <w:textAlignment w:val="center"/>
              <w:rPr>
                <w:rFonts w:ascii="宋体" w:hAnsi="宋体" w:cs="宋体"/>
                <w:color w:val="auto"/>
                <w:sz w:val="21"/>
                <w:szCs w:val="21"/>
              </w:rPr>
            </w:pPr>
          </w:p>
        </w:tc>
        <w:tc>
          <w:tcPr>
            <w:tcW w:w="1711"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24F55595">
            <w:pPr>
              <w:widowControl/>
              <w:jc w:val="center"/>
              <w:textAlignment w:val="center"/>
              <w:rPr>
                <w:rFonts w:ascii="宋体" w:hAnsi="宋体" w:cs="宋体"/>
                <w:color w:val="auto"/>
                <w:sz w:val="21"/>
                <w:szCs w:val="21"/>
              </w:rPr>
            </w:pPr>
          </w:p>
        </w:tc>
        <w:tc>
          <w:tcPr>
            <w:tcW w:w="1701" w:type="dxa"/>
            <w:tcBorders>
              <w:top w:val="single" w:color="auto" w:sz="4" w:space="0"/>
              <w:left w:val="single" w:color="000000" w:sz="4" w:space="0"/>
              <w:bottom w:val="single" w:color="000000" w:sz="4" w:space="0"/>
              <w:right w:val="single" w:color="auto" w:sz="4" w:space="0"/>
            </w:tcBorders>
            <w:shd w:val="clear" w:color="auto" w:fill="auto"/>
            <w:vAlign w:val="center"/>
          </w:tcPr>
          <w:p w14:paraId="69CF7508">
            <w:pPr>
              <w:widowControl/>
              <w:jc w:val="center"/>
              <w:textAlignment w:val="center"/>
              <w:rPr>
                <w:rFonts w:ascii="宋体" w:hAnsi="宋体" w:cs="宋体"/>
                <w:color w:val="auto"/>
                <w:sz w:val="21"/>
                <w:szCs w:val="21"/>
              </w:rPr>
            </w:pPr>
          </w:p>
        </w:tc>
        <w:tc>
          <w:tcPr>
            <w:tcW w:w="1532" w:type="dxa"/>
            <w:tcBorders>
              <w:top w:val="single" w:color="auto" w:sz="4" w:space="0"/>
              <w:left w:val="single" w:color="auto" w:sz="4" w:space="0"/>
              <w:bottom w:val="single" w:color="000000" w:sz="4" w:space="0"/>
              <w:right w:val="single" w:color="000000" w:sz="4" w:space="0"/>
            </w:tcBorders>
            <w:shd w:val="clear" w:color="auto" w:fill="auto"/>
            <w:vAlign w:val="center"/>
          </w:tcPr>
          <w:p w14:paraId="0A676C85">
            <w:pPr>
              <w:widowControl/>
              <w:jc w:val="center"/>
              <w:textAlignment w:val="center"/>
              <w:rPr>
                <w:rFonts w:ascii="宋体" w:hAnsi="宋体" w:cs="宋体"/>
                <w:color w:val="auto"/>
                <w:sz w:val="21"/>
                <w:szCs w:val="21"/>
              </w:rPr>
            </w:pPr>
          </w:p>
        </w:tc>
        <w:tc>
          <w:tcPr>
            <w:tcW w:w="1161" w:type="dxa"/>
            <w:tcBorders>
              <w:top w:val="single" w:color="auto" w:sz="4" w:space="0"/>
              <w:left w:val="single" w:color="000000" w:sz="4" w:space="0"/>
              <w:bottom w:val="single" w:color="000000" w:sz="4" w:space="0"/>
              <w:right w:val="single" w:color="000000" w:sz="4" w:space="0"/>
            </w:tcBorders>
            <w:shd w:val="clear" w:color="auto" w:fill="auto"/>
            <w:vAlign w:val="center"/>
          </w:tcPr>
          <w:p w14:paraId="2994D717">
            <w:pPr>
              <w:jc w:val="center"/>
              <w:rPr>
                <w:rFonts w:ascii="宋体" w:hAnsi="宋体" w:cs="宋体"/>
                <w:color w:val="auto"/>
                <w:sz w:val="21"/>
                <w:szCs w:val="21"/>
              </w:rPr>
            </w:pPr>
          </w:p>
        </w:tc>
      </w:tr>
      <w:tr w14:paraId="239951C0">
        <w:tblPrEx>
          <w:tblCellMar>
            <w:top w:w="0" w:type="dxa"/>
            <w:left w:w="108" w:type="dxa"/>
            <w:bottom w:w="0" w:type="dxa"/>
            <w:right w:w="108" w:type="dxa"/>
          </w:tblCellMar>
        </w:tblPrEx>
        <w:trPr>
          <w:trHeight w:val="246"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83EC3">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归集金额</w:t>
            </w:r>
            <w:r>
              <w:rPr>
                <w:rFonts w:hint="eastAsia" w:ascii="宋体" w:hAnsi="宋体" w:cs="宋体"/>
                <w:color w:val="auto"/>
                <w:kern w:val="0"/>
                <w:sz w:val="21"/>
                <w:szCs w:val="21"/>
                <w:lang w:eastAsia="zh-CN"/>
              </w:rPr>
              <w:t>合计</w:t>
            </w:r>
          </w:p>
        </w:tc>
        <w:tc>
          <w:tcPr>
            <w:tcW w:w="566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C7CFA64">
            <w:pPr>
              <w:widowControl/>
              <w:jc w:val="center"/>
              <w:textAlignment w:val="center"/>
              <w:rPr>
                <w:rFonts w:ascii="宋体" w:hAnsi="宋体" w:cs="宋体"/>
                <w:color w:val="auto"/>
                <w:sz w:val="21"/>
                <w:szCs w:val="21"/>
              </w:rPr>
            </w:pPr>
          </w:p>
        </w:tc>
        <w:tc>
          <w:tcPr>
            <w:tcW w:w="341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45B48F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归集日期</w:t>
            </w:r>
          </w:p>
        </w:tc>
        <w:tc>
          <w:tcPr>
            <w:tcW w:w="26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D7EC238">
            <w:pPr>
              <w:widowControl/>
              <w:jc w:val="center"/>
              <w:textAlignment w:val="center"/>
              <w:rPr>
                <w:rFonts w:ascii="宋体" w:hAnsi="宋体" w:cs="宋体"/>
                <w:color w:val="auto"/>
                <w:sz w:val="21"/>
                <w:szCs w:val="21"/>
              </w:rPr>
            </w:pPr>
          </w:p>
        </w:tc>
      </w:tr>
      <w:tr w14:paraId="62B9FCD9">
        <w:tblPrEx>
          <w:tblCellMar>
            <w:top w:w="0" w:type="dxa"/>
            <w:left w:w="108" w:type="dxa"/>
            <w:bottom w:w="0" w:type="dxa"/>
            <w:right w:w="108" w:type="dxa"/>
          </w:tblCellMar>
        </w:tblPrEx>
        <w:trPr>
          <w:trHeight w:val="983"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798A157">
            <w:pPr>
              <w:jc w:val="left"/>
              <w:rPr>
                <w:rFonts w:ascii="宋体" w:hAnsi="宋体" w:cs="宋体"/>
                <w:color w:val="auto"/>
                <w:kern w:val="0"/>
                <w:sz w:val="21"/>
                <w:szCs w:val="21"/>
              </w:rPr>
            </w:pPr>
            <w:r>
              <w:rPr>
                <w:rFonts w:hint="eastAsia" w:ascii="宋体" w:hAnsi="宋体" w:cs="宋体"/>
                <w:color w:val="auto"/>
                <w:kern w:val="0"/>
                <w:sz w:val="21"/>
                <w:szCs w:val="21"/>
              </w:rPr>
              <w:t>归集地社保机构：</w:t>
            </w:r>
          </w:p>
          <w:p w14:paraId="59092DA6">
            <w:pPr>
              <w:ind w:firstLine="630" w:firstLineChars="300"/>
              <w:jc w:val="left"/>
              <w:rPr>
                <w:rFonts w:ascii="宋体" w:hAnsi="宋体" w:cs="宋体"/>
                <w:color w:val="auto"/>
                <w:kern w:val="0"/>
                <w:sz w:val="21"/>
                <w:szCs w:val="21"/>
              </w:rPr>
            </w:pPr>
            <w:r>
              <w:rPr>
                <w:rFonts w:hint="eastAsia" w:ascii="宋体" w:hAnsi="宋体" w:cs="宋体"/>
                <w:color w:val="auto"/>
                <w:kern w:val="0"/>
                <w:sz w:val="21"/>
                <w:szCs w:val="21"/>
              </w:rPr>
              <w:t>经审核，该参保人员符合居民养老保险归集条件，同意其从即日起归集居民养老保险关系和个人账户储存额。</w:t>
            </w:r>
          </w:p>
          <w:p w14:paraId="70C844A6">
            <w:pPr>
              <w:ind w:firstLine="630" w:firstLineChars="300"/>
              <w:rPr>
                <w:rFonts w:ascii="宋体" w:hAnsi="宋体" w:cs="宋体"/>
                <w:color w:val="auto"/>
                <w:kern w:val="0"/>
                <w:sz w:val="21"/>
                <w:szCs w:val="21"/>
              </w:rPr>
            </w:pPr>
            <w:r>
              <w:rPr>
                <w:rFonts w:hint="eastAsia" w:ascii="宋体" w:hAnsi="宋体" w:cs="宋体"/>
                <w:color w:val="auto"/>
                <w:kern w:val="0"/>
                <w:sz w:val="21"/>
                <w:szCs w:val="21"/>
              </w:rPr>
              <w:t xml:space="preserve">                     经办人：         </w:t>
            </w:r>
            <w:r>
              <w:rPr>
                <w:rFonts w:ascii="宋体" w:hAnsi="宋体" w:cs="宋体"/>
                <w:color w:val="auto"/>
                <w:kern w:val="0"/>
                <w:sz w:val="21"/>
                <w:szCs w:val="21"/>
              </w:rPr>
              <w:t xml:space="preserve">            </w:t>
            </w:r>
            <w:r>
              <w:rPr>
                <w:rFonts w:hint="eastAsia" w:ascii="宋体" w:hAnsi="宋体" w:cs="宋体"/>
                <w:color w:val="auto"/>
                <w:kern w:val="0"/>
                <w:sz w:val="21"/>
                <w:szCs w:val="21"/>
              </w:rPr>
              <w:t xml:space="preserve">   年     月     日（签章）             联系电话:</w:t>
            </w:r>
          </w:p>
        </w:tc>
      </w:tr>
    </w:tbl>
    <w:p w14:paraId="25E0114D">
      <w:pPr>
        <w:widowControl/>
        <w:jc w:val="left"/>
        <w:textAlignment w:val="center"/>
        <w:rPr>
          <w:rFonts w:hint="eastAsia" w:ascii="宋体" w:hAnsi="宋体" w:cs="宋体"/>
          <w:color w:val="auto"/>
          <w:kern w:val="0"/>
          <w:sz w:val="21"/>
          <w:szCs w:val="21"/>
        </w:rPr>
      </w:pPr>
      <w:r>
        <w:rPr>
          <w:rFonts w:hint="eastAsia" w:ascii="宋体" w:hAnsi="宋体" w:cs="宋体"/>
          <w:b/>
          <w:bCs/>
          <w:color w:val="auto"/>
          <w:kern w:val="0"/>
          <w:sz w:val="21"/>
          <w:szCs w:val="21"/>
        </w:rPr>
        <w:t>注：</w:t>
      </w:r>
      <w:r>
        <w:rPr>
          <w:rFonts w:hint="eastAsia" w:ascii="宋体" w:hAnsi="宋体" w:cs="宋体"/>
          <w:color w:val="auto"/>
          <w:kern w:val="0"/>
          <w:sz w:val="21"/>
          <w:szCs w:val="21"/>
        </w:rPr>
        <w:t>1.此表一式两份，归集地、待归集地社保机构各留存一份。</w:t>
      </w:r>
    </w:p>
    <w:p w14:paraId="50CDCE4E">
      <w:pPr>
        <w:tabs>
          <w:tab w:val="left" w:pos="937"/>
        </w:tabs>
        <w:jc w:val="left"/>
        <w:rPr>
          <w:rFonts w:hint="eastAsia" w:ascii="宋体" w:hAnsi="宋体" w:cs="宋体"/>
          <w:color w:val="auto"/>
          <w:kern w:val="0"/>
          <w:sz w:val="21"/>
          <w:szCs w:val="21"/>
        </w:rPr>
        <w:sectPr>
          <w:pgSz w:w="16838" w:h="11906" w:orient="landscape"/>
          <w:pgMar w:top="1803" w:right="1440" w:bottom="1293" w:left="1440"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2.个人缴费、补（资）助、政府补贴其中包含的项目根据系统记录生成。</w:t>
      </w:r>
    </w:p>
    <w:p w14:paraId="66A5E23F">
      <w:pPr>
        <w:pStyle w:val="2"/>
        <w:ind w:left="0" w:leftChars="0" w:firstLine="0" w:firstLineChars="0"/>
        <w:rPr>
          <w:rFonts w:hint="eastAsia"/>
          <w:color w:val="auto"/>
        </w:rPr>
      </w:pPr>
    </w:p>
    <w:p w14:paraId="215B7856">
      <w:pPr>
        <w:pStyle w:val="2"/>
        <w:ind w:left="0" w:leftChars="0" w:firstLine="0" w:firstLineChars="0"/>
        <w:rPr>
          <w:rFonts w:hint="eastAsia"/>
          <w:color w:val="auto"/>
        </w:rPr>
      </w:pPr>
    </w:p>
    <w:p w14:paraId="65738275">
      <w:pPr>
        <w:pStyle w:val="2"/>
        <w:ind w:left="0" w:leftChars="0" w:firstLine="0" w:firstLineChars="0"/>
        <w:rPr>
          <w:rFonts w:hint="eastAsia"/>
          <w:color w:val="auto"/>
        </w:rPr>
      </w:pPr>
    </w:p>
    <w:p w14:paraId="0882F372">
      <w:pPr>
        <w:pStyle w:val="2"/>
        <w:ind w:left="0" w:leftChars="0" w:firstLine="0" w:firstLineChars="0"/>
        <w:rPr>
          <w:rFonts w:hint="eastAsia"/>
          <w:color w:val="auto"/>
        </w:rPr>
      </w:pPr>
    </w:p>
    <w:p w14:paraId="16E0B324">
      <w:pPr>
        <w:pStyle w:val="2"/>
        <w:ind w:left="0" w:leftChars="0" w:firstLine="0" w:firstLineChars="0"/>
        <w:rPr>
          <w:rFonts w:hint="eastAsia"/>
          <w:color w:val="auto"/>
        </w:rPr>
      </w:pPr>
    </w:p>
    <w:p w14:paraId="5A0AAB90">
      <w:pPr>
        <w:pStyle w:val="2"/>
        <w:ind w:left="0" w:leftChars="0" w:firstLine="0" w:firstLineChars="0"/>
        <w:rPr>
          <w:rFonts w:hint="eastAsia"/>
          <w:color w:val="auto"/>
        </w:rPr>
      </w:pPr>
    </w:p>
    <w:p w14:paraId="34AD9E11">
      <w:pPr>
        <w:pStyle w:val="2"/>
        <w:ind w:left="0" w:leftChars="0" w:firstLine="0" w:firstLineChars="0"/>
        <w:rPr>
          <w:rFonts w:hint="eastAsia"/>
          <w:color w:val="auto"/>
        </w:rPr>
      </w:pPr>
    </w:p>
    <w:p w14:paraId="509C82C0">
      <w:pPr>
        <w:pStyle w:val="2"/>
        <w:ind w:left="0" w:leftChars="0" w:firstLine="0" w:firstLineChars="0"/>
        <w:rPr>
          <w:rFonts w:hint="eastAsia"/>
          <w:color w:val="auto"/>
        </w:rPr>
      </w:pPr>
    </w:p>
    <w:p w14:paraId="07D554B6">
      <w:pPr>
        <w:pStyle w:val="2"/>
        <w:ind w:left="0" w:leftChars="0" w:firstLine="0" w:firstLineChars="0"/>
        <w:rPr>
          <w:rFonts w:hint="eastAsia"/>
          <w:color w:val="auto"/>
        </w:rPr>
      </w:pPr>
    </w:p>
    <w:p w14:paraId="50B0C49F">
      <w:pPr>
        <w:pStyle w:val="2"/>
        <w:ind w:left="0" w:leftChars="0" w:firstLine="0" w:firstLineChars="0"/>
        <w:rPr>
          <w:rFonts w:hint="eastAsia"/>
          <w:color w:val="auto"/>
        </w:rPr>
      </w:pPr>
    </w:p>
    <w:p w14:paraId="5327A515">
      <w:pPr>
        <w:pStyle w:val="2"/>
        <w:ind w:left="0" w:leftChars="0" w:firstLine="0" w:firstLineChars="0"/>
        <w:rPr>
          <w:rFonts w:hint="eastAsia"/>
          <w:color w:val="auto"/>
        </w:rPr>
      </w:pPr>
    </w:p>
    <w:p w14:paraId="6AFED50D">
      <w:pPr>
        <w:pStyle w:val="2"/>
        <w:ind w:left="0" w:leftChars="0" w:firstLine="0" w:firstLineChars="0"/>
        <w:rPr>
          <w:rFonts w:hint="eastAsia"/>
          <w:color w:val="auto"/>
        </w:rPr>
      </w:pPr>
    </w:p>
    <w:p w14:paraId="3FACA3B0">
      <w:pPr>
        <w:pStyle w:val="2"/>
        <w:ind w:left="0" w:leftChars="0" w:firstLine="0" w:firstLineChars="0"/>
        <w:rPr>
          <w:rFonts w:hint="eastAsia"/>
          <w:color w:val="auto"/>
        </w:rPr>
      </w:pPr>
    </w:p>
    <w:p w14:paraId="780ED02F">
      <w:pPr>
        <w:pStyle w:val="2"/>
        <w:ind w:left="0" w:leftChars="0" w:firstLine="0" w:firstLineChars="0"/>
        <w:rPr>
          <w:rFonts w:hint="eastAsia"/>
          <w:color w:val="auto"/>
        </w:rPr>
      </w:pPr>
    </w:p>
    <w:p w14:paraId="14DB9CF3">
      <w:pPr>
        <w:pStyle w:val="2"/>
        <w:ind w:left="0" w:leftChars="0" w:firstLine="0" w:firstLineChars="0"/>
        <w:rPr>
          <w:rFonts w:hint="eastAsia"/>
          <w:color w:val="auto"/>
        </w:rPr>
      </w:pPr>
    </w:p>
    <w:p w14:paraId="5D59AB0C">
      <w:pPr>
        <w:pStyle w:val="2"/>
        <w:ind w:left="0" w:leftChars="0" w:firstLine="0" w:firstLineChars="0"/>
        <w:rPr>
          <w:rFonts w:hint="eastAsia"/>
          <w:color w:val="auto"/>
        </w:rPr>
      </w:pPr>
    </w:p>
    <w:p w14:paraId="6E8237EE">
      <w:pPr>
        <w:pStyle w:val="2"/>
        <w:ind w:left="0" w:leftChars="0" w:firstLine="0" w:firstLineChars="0"/>
        <w:rPr>
          <w:rFonts w:hint="eastAsia"/>
          <w:color w:val="auto"/>
        </w:rPr>
      </w:pPr>
    </w:p>
    <w:p w14:paraId="376B4E25">
      <w:pPr>
        <w:pStyle w:val="2"/>
        <w:ind w:left="0" w:leftChars="0" w:firstLine="0" w:firstLineChars="0"/>
        <w:rPr>
          <w:rFonts w:hint="eastAsia"/>
          <w:color w:val="auto"/>
        </w:rPr>
      </w:pPr>
    </w:p>
    <w:p w14:paraId="2D2BFFE9">
      <w:pPr>
        <w:pStyle w:val="2"/>
        <w:ind w:left="0" w:leftChars="0" w:firstLine="0" w:firstLineChars="0"/>
        <w:rPr>
          <w:rFonts w:hint="eastAsia"/>
          <w:color w:val="auto"/>
        </w:rPr>
      </w:pPr>
    </w:p>
    <w:p w14:paraId="1ADB7745">
      <w:pPr>
        <w:rPr>
          <w:rFonts w:hint="default" w:ascii="仿宋_GB2312" w:hAnsi="仿宋_GB2312"/>
          <w:color w:val="auto"/>
        </w:rPr>
      </w:pPr>
    </w:p>
    <w:p w14:paraId="59DFC6EB">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4pt;height:0pt;width:442.2pt;z-index:251661312;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6AztIAAAACAQAADwAAAAAAAAABACAAAAAiAAAAZHJzL2Rvd25yZXYueG1sUEsB&#10;AhQAFAAAAAgAh07iQK+vPo37AQAA8wMAAA4AAAAAAAAAAQAgAAAAIQ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w:t>山东省人力资源和社会保障厅办公室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2023年12月29</w:t>
      </w:r>
      <w:r>
        <w:rPr>
          <w:rFonts w:hint="eastAsia" w:ascii="仿宋_GB2312" w:hAnsi="仿宋_GB2312" w:eastAsia="仿宋_GB2312" w:cs="仿宋_GB2312"/>
          <w:color w:val="auto"/>
          <w:sz w:val="28"/>
          <w:szCs w:val="28"/>
        </w:rPr>
        <w:t>日印发</w:t>
      </w:r>
    </w:p>
    <w:p w14:paraId="3016D8EB">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color w:val="auto"/>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364490</wp:posOffset>
                </wp:positionV>
                <wp:extent cx="5615940"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0pt;margin-top:28.7pt;height:0pt;width:442.2pt;z-index:251662336;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PNPmdUAAAAGAQAADwAAAAAAAAABACAAAAAiAAAAZHJzL2Rvd25yZXYueG1s&#10;UEsBAhQAFAAAAAgAh07iQDeqsFr7AQAA8wMAAA4AAAAAAAAAAQAgAAAAJAEAAGRycy9lMm9Eb2Mu&#10;eG1sUEsFBgAAAAAGAAYAWQEAAJE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15940"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0pt;margin-top:0.2pt;height:0pt;width:442.2pt;z-index:251660288;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u9eo0AAAAAIBAAAPAAAAAAAAAAEAIAAAACIAAABkcnMvZG93bnJldi54bWxQSwECFAAU&#10;AAAACACHTuJAaehjkvkBAADyAwAADgAAAAAAAAABACAAAAAfAQAAZHJzL2Uyb0RvYy54bWxQSwUG&#10;AAAAAAYABgBZAQAAigU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eastAsia="zh-CN"/>
        </w:rPr>
        <w:t>张桂荣</w:t>
      </w:r>
    </w:p>
    <w:sectPr>
      <w:pgSz w:w="11906" w:h="16838"/>
      <w:pgMar w:top="2098" w:right="1531" w:bottom="1814" w:left="1531" w:header="851" w:footer="992"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方正宋三简体">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7AA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20845">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D20845">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65EEF"/>
    <w:multiLevelType w:val="multilevel"/>
    <w:tmpl w:val="12865EEF"/>
    <w:lvl w:ilvl="0" w:tentative="0">
      <w:start w:val="1"/>
      <w:numFmt w:val="japaneseCounting"/>
      <w:pStyle w:val="19"/>
      <w:lvlText w:val="第%1条"/>
      <w:lvlJc w:val="left"/>
      <w:pPr>
        <w:ind w:left="2102" w:hanging="1110"/>
      </w:pPr>
      <w:rPr>
        <w:rFonts w:hint="default" w:ascii="黑体" w:hAnsi="黑体" w:eastAsia="黑体" w:cs="黑体"/>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NWQ4Yzc2ODRmMjkxNjA5MzQ4NTVjMjAzNDYwMTQifQ=="/>
  </w:docVars>
  <w:rsids>
    <w:rsidRoot w:val="00172A27"/>
    <w:rsid w:val="000000D0"/>
    <w:rsid w:val="00056E33"/>
    <w:rsid w:val="00091882"/>
    <w:rsid w:val="000E2069"/>
    <w:rsid w:val="00121B63"/>
    <w:rsid w:val="001661DF"/>
    <w:rsid w:val="00181885"/>
    <w:rsid w:val="001A3A41"/>
    <w:rsid w:val="001C769B"/>
    <w:rsid w:val="001D3AD8"/>
    <w:rsid w:val="00202CB5"/>
    <w:rsid w:val="002D312F"/>
    <w:rsid w:val="002F11C5"/>
    <w:rsid w:val="003679E8"/>
    <w:rsid w:val="0037212B"/>
    <w:rsid w:val="0039087A"/>
    <w:rsid w:val="003F25AA"/>
    <w:rsid w:val="00453FEA"/>
    <w:rsid w:val="004771A5"/>
    <w:rsid w:val="00496CBE"/>
    <w:rsid w:val="004E5945"/>
    <w:rsid w:val="005024E6"/>
    <w:rsid w:val="00574B59"/>
    <w:rsid w:val="005E50B8"/>
    <w:rsid w:val="00606BBF"/>
    <w:rsid w:val="0063781B"/>
    <w:rsid w:val="00675FCB"/>
    <w:rsid w:val="00716060"/>
    <w:rsid w:val="00721E9E"/>
    <w:rsid w:val="00744364"/>
    <w:rsid w:val="00752679"/>
    <w:rsid w:val="008362FB"/>
    <w:rsid w:val="00855586"/>
    <w:rsid w:val="008637D7"/>
    <w:rsid w:val="00872E09"/>
    <w:rsid w:val="00897656"/>
    <w:rsid w:val="008E3015"/>
    <w:rsid w:val="00965D7B"/>
    <w:rsid w:val="009C034D"/>
    <w:rsid w:val="009C11F8"/>
    <w:rsid w:val="009D2129"/>
    <w:rsid w:val="00A70BE1"/>
    <w:rsid w:val="00AA66BF"/>
    <w:rsid w:val="00B240C1"/>
    <w:rsid w:val="00B70D18"/>
    <w:rsid w:val="00BE48C8"/>
    <w:rsid w:val="00C632BA"/>
    <w:rsid w:val="00C715D5"/>
    <w:rsid w:val="00C77584"/>
    <w:rsid w:val="00CA7677"/>
    <w:rsid w:val="00CD7740"/>
    <w:rsid w:val="00D1129B"/>
    <w:rsid w:val="00D329D1"/>
    <w:rsid w:val="00DE037E"/>
    <w:rsid w:val="00DF33C7"/>
    <w:rsid w:val="00E22AFE"/>
    <w:rsid w:val="00E46B2F"/>
    <w:rsid w:val="00EA09BE"/>
    <w:rsid w:val="00EB1F54"/>
    <w:rsid w:val="00EB7490"/>
    <w:rsid w:val="00ED4072"/>
    <w:rsid w:val="00EE33F9"/>
    <w:rsid w:val="00F94D7E"/>
    <w:rsid w:val="00FB141B"/>
    <w:rsid w:val="00FB63DE"/>
    <w:rsid w:val="00FD4D98"/>
    <w:rsid w:val="03414A32"/>
    <w:rsid w:val="03FD1163"/>
    <w:rsid w:val="0540363D"/>
    <w:rsid w:val="05AC3C60"/>
    <w:rsid w:val="062E3760"/>
    <w:rsid w:val="0897126D"/>
    <w:rsid w:val="08B04F66"/>
    <w:rsid w:val="097D35D6"/>
    <w:rsid w:val="09E93244"/>
    <w:rsid w:val="0A6A031B"/>
    <w:rsid w:val="0A9E79FA"/>
    <w:rsid w:val="0B165043"/>
    <w:rsid w:val="0E6A37C0"/>
    <w:rsid w:val="0F31781A"/>
    <w:rsid w:val="0FE846F0"/>
    <w:rsid w:val="0FEE3688"/>
    <w:rsid w:val="10C60162"/>
    <w:rsid w:val="12BB014A"/>
    <w:rsid w:val="12DA30E9"/>
    <w:rsid w:val="12E64CA6"/>
    <w:rsid w:val="13C85C67"/>
    <w:rsid w:val="14524DEB"/>
    <w:rsid w:val="149410FA"/>
    <w:rsid w:val="152C54BD"/>
    <w:rsid w:val="15A06C16"/>
    <w:rsid w:val="15DD64B3"/>
    <w:rsid w:val="15E73184"/>
    <w:rsid w:val="16335A38"/>
    <w:rsid w:val="16591A72"/>
    <w:rsid w:val="17F5527B"/>
    <w:rsid w:val="19496710"/>
    <w:rsid w:val="19615A93"/>
    <w:rsid w:val="19A70A6B"/>
    <w:rsid w:val="19A75B8A"/>
    <w:rsid w:val="1A164461"/>
    <w:rsid w:val="1A3467A9"/>
    <w:rsid w:val="1AA52410"/>
    <w:rsid w:val="1B013042"/>
    <w:rsid w:val="1D2D5256"/>
    <w:rsid w:val="1DE23265"/>
    <w:rsid w:val="1F1A7C3E"/>
    <w:rsid w:val="20A8702E"/>
    <w:rsid w:val="20C41FED"/>
    <w:rsid w:val="20F633F7"/>
    <w:rsid w:val="20FF6BA9"/>
    <w:rsid w:val="21437FDF"/>
    <w:rsid w:val="21CA1C41"/>
    <w:rsid w:val="228F18B8"/>
    <w:rsid w:val="23610AA8"/>
    <w:rsid w:val="23E159E2"/>
    <w:rsid w:val="23E30258"/>
    <w:rsid w:val="24E81E50"/>
    <w:rsid w:val="26013C95"/>
    <w:rsid w:val="26217F51"/>
    <w:rsid w:val="26D31884"/>
    <w:rsid w:val="27A9770F"/>
    <w:rsid w:val="285A394F"/>
    <w:rsid w:val="28AD5B50"/>
    <w:rsid w:val="29192782"/>
    <w:rsid w:val="2A4E57F2"/>
    <w:rsid w:val="2A5C47A3"/>
    <w:rsid w:val="2A717A1D"/>
    <w:rsid w:val="2DA759A7"/>
    <w:rsid w:val="2E1F518C"/>
    <w:rsid w:val="2E740A26"/>
    <w:rsid w:val="2F020469"/>
    <w:rsid w:val="2F701507"/>
    <w:rsid w:val="2FE44D7B"/>
    <w:rsid w:val="318B25ED"/>
    <w:rsid w:val="31BA5757"/>
    <w:rsid w:val="31FA04D4"/>
    <w:rsid w:val="324B2B21"/>
    <w:rsid w:val="32A620C2"/>
    <w:rsid w:val="339D5497"/>
    <w:rsid w:val="33AD1043"/>
    <w:rsid w:val="34557C5A"/>
    <w:rsid w:val="348A77BD"/>
    <w:rsid w:val="35205AB5"/>
    <w:rsid w:val="3569086D"/>
    <w:rsid w:val="35A121B2"/>
    <w:rsid w:val="36860D77"/>
    <w:rsid w:val="37AD0D67"/>
    <w:rsid w:val="39431723"/>
    <w:rsid w:val="39BD4D9C"/>
    <w:rsid w:val="3AB86FD3"/>
    <w:rsid w:val="3B3B743D"/>
    <w:rsid w:val="3BB144BF"/>
    <w:rsid w:val="3CBA57C1"/>
    <w:rsid w:val="3CC30FBB"/>
    <w:rsid w:val="3CD60861"/>
    <w:rsid w:val="3D395D81"/>
    <w:rsid w:val="3D684A0B"/>
    <w:rsid w:val="40263548"/>
    <w:rsid w:val="415617EE"/>
    <w:rsid w:val="41BF482E"/>
    <w:rsid w:val="42462AEF"/>
    <w:rsid w:val="42BD1671"/>
    <w:rsid w:val="42CA16FA"/>
    <w:rsid w:val="4306362B"/>
    <w:rsid w:val="45444B3E"/>
    <w:rsid w:val="45461BBD"/>
    <w:rsid w:val="45637BE7"/>
    <w:rsid w:val="45B1154B"/>
    <w:rsid w:val="46CD4CF5"/>
    <w:rsid w:val="46E27E06"/>
    <w:rsid w:val="47A211BB"/>
    <w:rsid w:val="4800421A"/>
    <w:rsid w:val="48210E86"/>
    <w:rsid w:val="4829428B"/>
    <w:rsid w:val="4CCD186E"/>
    <w:rsid w:val="4D4C5C91"/>
    <w:rsid w:val="4D694DFD"/>
    <w:rsid w:val="4D7E4980"/>
    <w:rsid w:val="4DC2458F"/>
    <w:rsid w:val="4DCD4CC9"/>
    <w:rsid w:val="4E2E5F0C"/>
    <w:rsid w:val="4E6A40E8"/>
    <w:rsid w:val="4E9E1710"/>
    <w:rsid w:val="4EC5273E"/>
    <w:rsid w:val="4ED566BC"/>
    <w:rsid w:val="4EE6686A"/>
    <w:rsid w:val="4F341897"/>
    <w:rsid w:val="4FFA0425"/>
    <w:rsid w:val="50116902"/>
    <w:rsid w:val="502E3B1A"/>
    <w:rsid w:val="5138120C"/>
    <w:rsid w:val="51542882"/>
    <w:rsid w:val="520318EA"/>
    <w:rsid w:val="52404FE9"/>
    <w:rsid w:val="54943E0E"/>
    <w:rsid w:val="54E82066"/>
    <w:rsid w:val="55E25783"/>
    <w:rsid w:val="55FF7201"/>
    <w:rsid w:val="56402FBD"/>
    <w:rsid w:val="56816DEE"/>
    <w:rsid w:val="572A738D"/>
    <w:rsid w:val="57562CA3"/>
    <w:rsid w:val="57AC4BB8"/>
    <w:rsid w:val="57FA6523"/>
    <w:rsid w:val="580E6223"/>
    <w:rsid w:val="58C72034"/>
    <w:rsid w:val="58D971B2"/>
    <w:rsid w:val="597265DB"/>
    <w:rsid w:val="59F55FD9"/>
    <w:rsid w:val="59F73FF3"/>
    <w:rsid w:val="5A297542"/>
    <w:rsid w:val="5A847295"/>
    <w:rsid w:val="5DA0204D"/>
    <w:rsid w:val="5DE1334E"/>
    <w:rsid w:val="5E452CC8"/>
    <w:rsid w:val="5EA77CA1"/>
    <w:rsid w:val="5F3A22E2"/>
    <w:rsid w:val="5F860BF9"/>
    <w:rsid w:val="5F901FE7"/>
    <w:rsid w:val="6006244B"/>
    <w:rsid w:val="606347F3"/>
    <w:rsid w:val="610D226A"/>
    <w:rsid w:val="61D95959"/>
    <w:rsid w:val="61F24A83"/>
    <w:rsid w:val="622C59B6"/>
    <w:rsid w:val="62AD073E"/>
    <w:rsid w:val="63307226"/>
    <w:rsid w:val="6364737D"/>
    <w:rsid w:val="63851C6C"/>
    <w:rsid w:val="63DC06F7"/>
    <w:rsid w:val="654B5927"/>
    <w:rsid w:val="657C7C0D"/>
    <w:rsid w:val="68232EF2"/>
    <w:rsid w:val="68710E33"/>
    <w:rsid w:val="688F6540"/>
    <w:rsid w:val="6A0E36C1"/>
    <w:rsid w:val="6AA71659"/>
    <w:rsid w:val="6AED6237"/>
    <w:rsid w:val="6C6D573B"/>
    <w:rsid w:val="6D3F1900"/>
    <w:rsid w:val="6DBE574D"/>
    <w:rsid w:val="6E0E0EAA"/>
    <w:rsid w:val="6E7F5E8F"/>
    <w:rsid w:val="6EBD3E08"/>
    <w:rsid w:val="6F1C69D4"/>
    <w:rsid w:val="6F983DC8"/>
    <w:rsid w:val="706062AD"/>
    <w:rsid w:val="71647BDD"/>
    <w:rsid w:val="71BC65ED"/>
    <w:rsid w:val="72D809C5"/>
    <w:rsid w:val="740851CA"/>
    <w:rsid w:val="746E55A6"/>
    <w:rsid w:val="74B04F3E"/>
    <w:rsid w:val="75010438"/>
    <w:rsid w:val="75345AEB"/>
    <w:rsid w:val="756B23AA"/>
    <w:rsid w:val="75FC7690"/>
    <w:rsid w:val="76B4457A"/>
    <w:rsid w:val="770E6846"/>
    <w:rsid w:val="77117315"/>
    <w:rsid w:val="77F771FD"/>
    <w:rsid w:val="78873D4C"/>
    <w:rsid w:val="78940227"/>
    <w:rsid w:val="79284F23"/>
    <w:rsid w:val="7A2322A1"/>
    <w:rsid w:val="7A817225"/>
    <w:rsid w:val="7CA26CFF"/>
    <w:rsid w:val="7CED49CB"/>
    <w:rsid w:val="7E7B0259"/>
    <w:rsid w:val="7F30670A"/>
    <w:rsid w:val="7F94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rFonts w:ascii="仿宋_GB2312" w:hAnsi="宋体"/>
    </w:rPr>
  </w:style>
  <w:style w:type="paragraph" w:styleId="4">
    <w:name w:val="Normal Indent"/>
    <w:basedOn w:val="1"/>
    <w:qFormat/>
    <w:uiPriority w:val="0"/>
    <w:pPr>
      <w:ind w:firstLine="420" w:firstLineChars="200"/>
    </w:pPr>
    <w:rPr>
      <w:rFonts w:ascii="Times New Roman" w:hAnsi="Times New Roman"/>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qFormat/>
    <w:uiPriority w:val="0"/>
    <w:pPr>
      <w:widowControl w:val="0"/>
      <w:jc w:val="both"/>
    </w:pPr>
    <w:rPr>
      <w:rFonts w:ascii="Cambria" w:hAnsi="Cambria" w:cs="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31"/>
    <w:basedOn w:val="10"/>
    <w:qFormat/>
    <w:uiPriority w:val="0"/>
    <w:rPr>
      <w:rFonts w:hint="default" w:ascii="Times New Roman" w:hAnsi="Times New Roman" w:cs="Times New Roman"/>
      <w:color w:val="000000"/>
      <w:sz w:val="22"/>
      <w:szCs w:val="22"/>
      <w:u w:val="none"/>
    </w:rPr>
  </w:style>
  <w:style w:type="character" w:customStyle="1" w:styleId="13">
    <w:name w:val="font71"/>
    <w:basedOn w:val="10"/>
    <w:qFormat/>
    <w:uiPriority w:val="0"/>
    <w:rPr>
      <w:rFonts w:hint="eastAsia" w:ascii="宋体" w:hAnsi="宋体" w:eastAsia="宋体" w:cs="宋体"/>
      <w:color w:val="000000"/>
      <w:sz w:val="22"/>
      <w:szCs w:val="22"/>
      <w:u w:val="none"/>
    </w:rPr>
  </w:style>
  <w:style w:type="character" w:customStyle="1" w:styleId="14">
    <w:name w:val="font51"/>
    <w:basedOn w:val="10"/>
    <w:qFormat/>
    <w:uiPriority w:val="0"/>
    <w:rPr>
      <w:rFonts w:hint="eastAsia" w:ascii="宋体" w:hAnsi="宋体" w:eastAsia="宋体" w:cs="宋体"/>
      <w:color w:val="000000"/>
      <w:sz w:val="20"/>
      <w:szCs w:val="20"/>
      <w:u w:val="none"/>
    </w:rPr>
  </w:style>
  <w:style w:type="character" w:customStyle="1" w:styleId="15">
    <w:name w:val="font61"/>
    <w:basedOn w:val="10"/>
    <w:qFormat/>
    <w:uiPriority w:val="0"/>
    <w:rPr>
      <w:rFonts w:hint="eastAsia" w:ascii="宋体" w:hAnsi="宋体" w:eastAsia="宋体" w:cs="宋体"/>
      <w:color w:val="000000"/>
      <w:sz w:val="24"/>
      <w:szCs w:val="24"/>
      <w:u w:val="none"/>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批注框文本 Char"/>
    <w:basedOn w:val="10"/>
    <w:link w:val="5"/>
    <w:qFormat/>
    <w:uiPriority w:val="0"/>
    <w:rPr>
      <w:kern w:val="2"/>
      <w:sz w:val="18"/>
      <w:szCs w:val="18"/>
    </w:rPr>
  </w:style>
  <w:style w:type="paragraph" w:customStyle="1" w:styleId="18">
    <w:name w:val="List Paragraph"/>
    <w:basedOn w:val="1"/>
    <w:qFormat/>
    <w:uiPriority w:val="99"/>
    <w:pPr>
      <w:ind w:firstLine="420" w:firstLineChars="200"/>
    </w:pPr>
  </w:style>
  <w:style w:type="paragraph" w:customStyle="1" w:styleId="19">
    <w:name w:val="样式1"/>
    <w:basedOn w:val="18"/>
    <w:qFormat/>
    <w:uiPriority w:val="0"/>
    <w:pPr>
      <w:numPr>
        <w:ilvl w:val="0"/>
        <w:numId w:val="1"/>
      </w:numPr>
      <w:ind w:firstLine="0" w:firstLineChars="0"/>
      <w:jc w:val="left"/>
    </w:pPr>
    <w:rPr>
      <w:rFonts w:ascii="仿宋_GB2312" w:hAnsi="仿宋_GB2312" w:eastAsia="仿宋_GB2312" w:cs="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20405</Words>
  <Characters>20573</Characters>
  <Lines>56</Lines>
  <Paragraphs>15</Paragraphs>
  <TotalTime>0</TotalTime>
  <ScaleCrop>false</ScaleCrop>
  <LinksUpToDate>false</LinksUpToDate>
  <CharactersWithSpaces>23466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2023-12-28T02:48:00Z</dcterms:created>
  <dc:creator>user</dc:creator>
  <cp:lastModifiedBy>婁超羣</cp:lastModifiedBy>
  <cp:lastPrinted>2023-12-28T02:34:00Z</cp:lastPrinted>
  <dcterms:modified xsi:type="dcterms:W3CDTF">2024-08-23T00:52:37Z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82241481321245548960FC1003132367_13</vt:lpwstr>
  </property>
</Properties>
</file>