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鲁人社字〔2024〕60号</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山东省人</w:t>
      </w:r>
      <w:r>
        <w:rPr>
          <w:rFonts w:hint="eastAsia" w:ascii="方正小标宋简体" w:hAnsi="方正小标宋简体" w:eastAsia="方正小标宋简体" w:cs="方正小标宋简体"/>
          <w:color w:val="auto"/>
          <w:sz w:val="44"/>
          <w:szCs w:val="44"/>
        </w:rPr>
        <w:t>力资源</w:t>
      </w:r>
      <w:r>
        <w:rPr>
          <w:rFonts w:hint="eastAsia" w:ascii="方正小标宋简体" w:hAnsi="方正小标宋简体" w:eastAsia="方正小标宋简体" w:cs="方正小标宋简体"/>
          <w:color w:val="auto"/>
          <w:sz w:val="44"/>
          <w:szCs w:val="44"/>
          <w:lang w:eastAsia="zh-CN"/>
        </w:rPr>
        <w:t>和</w:t>
      </w:r>
      <w:r>
        <w:rPr>
          <w:rFonts w:hint="eastAsia" w:ascii="方正小标宋简体" w:hAnsi="方正小标宋简体" w:eastAsia="方正小标宋简体" w:cs="方正小标宋简体"/>
          <w:color w:val="auto"/>
          <w:sz w:val="44"/>
          <w:szCs w:val="44"/>
        </w:rPr>
        <w:t>社会保障</w:t>
      </w:r>
      <w:r>
        <w:rPr>
          <w:rFonts w:hint="eastAsia" w:ascii="方正小标宋简体" w:hAnsi="方正小标宋简体" w:eastAsia="方正小标宋简体" w:cs="方正小标宋简体"/>
          <w:color w:val="auto"/>
          <w:sz w:val="44"/>
          <w:szCs w:val="44"/>
          <w:lang w:val="en-US" w:eastAsia="zh-CN"/>
        </w:rPr>
        <w:t>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实施</w:t>
      </w:r>
      <w:r>
        <w:rPr>
          <w:rFonts w:hint="eastAsia" w:ascii="方正小标宋简体" w:hAnsi="方正小标宋简体" w:eastAsia="方正小标宋简体" w:cs="方正小标宋简体"/>
          <w:color w:val="auto"/>
          <w:sz w:val="44"/>
          <w:szCs w:val="44"/>
        </w:rPr>
        <w:t>银发经济</w:t>
      </w:r>
      <w:r>
        <w:rPr>
          <w:rFonts w:hint="eastAsia" w:ascii="方正小标宋简体" w:hAnsi="方正小标宋简体" w:eastAsia="方正小标宋简体" w:cs="方正小标宋简体"/>
          <w:color w:val="auto"/>
          <w:sz w:val="44"/>
          <w:szCs w:val="44"/>
          <w:lang w:val="en-US" w:eastAsia="zh-CN"/>
        </w:rPr>
        <w:t>发展与银发人力资源开发</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rPr>
        <w:t>助力</w:t>
      </w:r>
      <w:r>
        <w:rPr>
          <w:rFonts w:hint="eastAsia" w:ascii="方正小标宋简体" w:hAnsi="方正小标宋简体" w:eastAsia="方正小标宋简体" w:cs="方正小标宋简体"/>
          <w:color w:val="auto"/>
          <w:sz w:val="44"/>
          <w:szCs w:val="44"/>
          <w:lang w:val="en-US" w:eastAsia="zh-CN"/>
        </w:rPr>
        <w:t>行动</w:t>
      </w:r>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人力资源社会保障局：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山东是全国老年人口最多的省份，</w:t>
      </w:r>
      <w:r>
        <w:rPr>
          <w:rFonts w:hint="eastAsia" w:ascii="仿宋_GB2312" w:hAnsi="仿宋_GB2312" w:eastAsia="仿宋_GB2312" w:cs="仿宋_GB2312"/>
          <w:color w:val="auto"/>
          <w:sz w:val="32"/>
          <w:szCs w:val="32"/>
          <w:lang w:val="en-US" w:eastAsia="zh-CN"/>
        </w:rPr>
        <w:t>也是</w:t>
      </w:r>
      <w:r>
        <w:rPr>
          <w:rFonts w:hint="eastAsia" w:ascii="仿宋_GB2312" w:hAnsi="仿宋_GB2312" w:eastAsia="仿宋_GB2312" w:cs="仿宋_GB2312"/>
          <w:color w:val="auto"/>
          <w:sz w:val="32"/>
          <w:szCs w:val="32"/>
        </w:rPr>
        <w:t>首批进入中度老龄化的省份。</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积极应对人口老龄化，培育经济发展新动能，</w:t>
      </w:r>
      <w:r>
        <w:rPr>
          <w:rFonts w:hint="eastAsia" w:ascii="仿宋_GB2312" w:hAnsi="仿宋_GB2312" w:eastAsia="仿宋_GB2312" w:cs="仿宋_GB2312"/>
          <w:color w:val="auto"/>
          <w:sz w:val="32"/>
          <w:szCs w:val="32"/>
          <w:lang w:val="en-US" w:eastAsia="zh-CN"/>
        </w:rPr>
        <w:t>开发老年人力资源，降低社会调查失业水平，根据《国务院办公厅关于发展银发经济增进老年人福祉的意见》（国办发〔2024〕1号）、《人力资源社会保障部关于强化支持举措助力银发经济发展壮大的通知》（人社部发〔2024〕46号）精神，结合山东实际，</w:t>
      </w:r>
      <w:r>
        <w:rPr>
          <w:rFonts w:hint="default" w:ascii="仿宋_GB2312" w:hAnsi="仿宋_GB2312" w:eastAsia="仿宋_GB2312" w:cs="仿宋_GB2312"/>
          <w:color w:val="auto"/>
          <w:sz w:val="32"/>
          <w:szCs w:val="32"/>
          <w:lang w:eastAsia="zh-CN"/>
        </w:rPr>
        <w:t>决定</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银发经济</w:t>
      </w:r>
      <w:r>
        <w:rPr>
          <w:rFonts w:hint="eastAsia" w:ascii="仿宋_GB2312" w:hAnsi="仿宋_GB2312" w:eastAsia="仿宋_GB2312" w:cs="仿宋_GB2312"/>
          <w:color w:val="auto"/>
          <w:sz w:val="32"/>
          <w:szCs w:val="32"/>
          <w:lang w:val="en-US" w:eastAsia="zh-CN"/>
        </w:rPr>
        <w:t>发展和银发人力资源开发</w:t>
      </w:r>
      <w:r>
        <w:rPr>
          <w:rFonts w:hint="eastAsia" w:ascii="仿宋_GB2312" w:hAnsi="仿宋_GB2312" w:eastAsia="仿宋_GB2312" w:cs="仿宋_GB2312"/>
          <w:color w:val="auto"/>
          <w:sz w:val="32"/>
          <w:szCs w:val="32"/>
        </w:rPr>
        <w:t>助力</w:t>
      </w:r>
      <w:r>
        <w:rPr>
          <w:rFonts w:hint="eastAsia" w:ascii="仿宋_GB2312" w:hAnsi="仿宋_GB2312" w:eastAsia="仿宋_GB2312" w:cs="仿宋_GB2312"/>
          <w:color w:val="auto"/>
          <w:sz w:val="32"/>
          <w:szCs w:val="32"/>
          <w:lang w:val="en-US" w:eastAsia="zh-CN"/>
        </w:rPr>
        <w:t>行动（简称“双银”助力行动），具体事项通知如下：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习近平新时代中国特色社会主义思想为指导，全面贯彻党的二十大精神，深入落实习近平总书记对山东工作的重要指示要求，落实积极应对人口老龄化国家战略，统筹用好人力资源社会保障各项政策措施，加快推动银发经济发展，有效开发银发人力资源，推动有效市场和有为政府更好结合，实现</w:t>
      </w:r>
      <w:r>
        <w:rPr>
          <w:rFonts w:hint="eastAsia" w:ascii="仿宋_GB2312" w:hAnsi="仿宋_GB2312" w:eastAsia="仿宋_GB2312" w:cs="仿宋_GB2312"/>
          <w:color w:val="auto"/>
          <w:sz w:val="32"/>
          <w:szCs w:val="32"/>
        </w:rPr>
        <w:t>银发经济</w:t>
      </w:r>
      <w:r>
        <w:rPr>
          <w:rFonts w:hint="eastAsia" w:ascii="仿宋_GB2312" w:hAnsi="仿宋_GB2312" w:eastAsia="仿宋_GB2312" w:cs="仿宋_GB2312"/>
          <w:color w:val="auto"/>
          <w:sz w:val="32"/>
          <w:szCs w:val="32"/>
          <w:lang w:val="en-US" w:eastAsia="zh-CN"/>
        </w:rPr>
        <w:t>发展与银发人力资源开发的协同共促，进一步促增长、扩就业、惠民生，不断增强广大劳动者的获得感幸福感安全感。</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二、银发经济发展助力行动</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扶持</w:t>
      </w:r>
      <w:r>
        <w:rPr>
          <w:rFonts w:hint="eastAsia" w:ascii="楷体_GB2312" w:hAnsi="楷体_GB2312" w:eastAsia="楷体_GB2312" w:cs="楷体_GB2312"/>
          <w:color w:val="auto"/>
          <w:sz w:val="32"/>
          <w:szCs w:val="32"/>
        </w:rPr>
        <w:t>银发经济企业</w:t>
      </w:r>
      <w:r>
        <w:rPr>
          <w:rFonts w:hint="eastAsia" w:ascii="楷体_GB2312" w:hAnsi="楷体_GB2312" w:eastAsia="楷体_GB2312" w:cs="楷体_GB2312"/>
          <w:color w:val="auto"/>
          <w:sz w:val="32"/>
          <w:szCs w:val="32"/>
          <w:lang w:val="en-US" w:eastAsia="zh-CN"/>
        </w:rPr>
        <w:t>稳岗扩岗。</w:t>
      </w:r>
      <w:r>
        <w:rPr>
          <w:rFonts w:hint="eastAsia" w:ascii="仿宋_GB2312" w:hAnsi="仿宋_GB2312" w:eastAsia="仿宋_GB2312" w:cs="仿宋_GB2312"/>
          <w:color w:val="auto"/>
          <w:sz w:val="32"/>
          <w:szCs w:val="32"/>
        </w:rPr>
        <w:t>推广“直补快办”模式，</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rPr>
        <w:t>阶段性降低失业保险</w:t>
      </w:r>
      <w:r>
        <w:rPr>
          <w:rFonts w:hint="eastAsia" w:ascii="仿宋_GB2312" w:hAnsi="仿宋_GB2312" w:eastAsia="仿宋_GB2312" w:cs="仿宋_GB2312"/>
          <w:color w:val="auto"/>
          <w:sz w:val="32"/>
          <w:szCs w:val="32"/>
          <w:lang w:val="en-US" w:eastAsia="zh-CN"/>
        </w:rPr>
        <w:t>费率</w:t>
      </w:r>
      <w:r>
        <w:rPr>
          <w:rFonts w:hint="eastAsia" w:ascii="仿宋_GB2312" w:hAnsi="仿宋_GB2312" w:eastAsia="仿宋_GB2312" w:cs="仿宋_GB2312"/>
          <w:color w:val="auto"/>
          <w:sz w:val="32"/>
          <w:szCs w:val="32"/>
        </w:rPr>
        <w:t>、失业保险稳岗返还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社会保险补贴</w:t>
      </w:r>
      <w:r>
        <w:rPr>
          <w:rFonts w:hint="eastAsia" w:ascii="仿宋_GB2312" w:hAnsi="仿宋_GB2312" w:eastAsia="仿宋_GB2312" w:cs="仿宋_GB2312"/>
          <w:color w:val="auto"/>
          <w:sz w:val="32"/>
          <w:szCs w:val="32"/>
          <w:lang w:val="en-US" w:eastAsia="zh-CN"/>
        </w:rPr>
        <w:t>等政策，</w:t>
      </w:r>
      <w:r>
        <w:rPr>
          <w:rFonts w:hint="eastAsia" w:ascii="仿宋_GB2312" w:hAnsi="仿宋_GB2312" w:eastAsia="仿宋_GB2312" w:cs="仿宋_GB2312"/>
          <w:color w:val="auto"/>
          <w:sz w:val="32"/>
          <w:szCs w:val="32"/>
        </w:rPr>
        <w:t>支持银发经济企业稳定现有岗位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扩大吸纳高校毕业生等青年就业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支持银发</w:t>
      </w:r>
      <w:r>
        <w:rPr>
          <w:rFonts w:hint="eastAsia" w:ascii="楷体_GB2312" w:hAnsi="楷体_GB2312" w:eastAsia="楷体_GB2312" w:cs="楷体_GB2312"/>
          <w:color w:val="auto"/>
          <w:sz w:val="32"/>
          <w:szCs w:val="32"/>
          <w:lang w:val="en-US" w:eastAsia="zh-CN"/>
        </w:rPr>
        <w:t>经济</w:t>
      </w:r>
      <w:r>
        <w:rPr>
          <w:rFonts w:hint="eastAsia" w:ascii="楷体_GB2312" w:hAnsi="楷体_GB2312" w:eastAsia="楷体_GB2312" w:cs="楷体_GB2312"/>
          <w:color w:val="auto"/>
          <w:sz w:val="32"/>
          <w:szCs w:val="32"/>
        </w:rPr>
        <w:t>领域自主创业。</w:t>
      </w:r>
      <w:r>
        <w:rPr>
          <w:rFonts w:hint="eastAsia" w:ascii="仿宋_GB2312" w:hAnsi="仿宋_GB2312" w:eastAsia="仿宋_GB2312" w:cs="仿宋_GB2312"/>
          <w:color w:val="auto"/>
          <w:sz w:val="32"/>
          <w:szCs w:val="32"/>
        </w:rPr>
        <w:t>聚焦银发经济</w:t>
      </w:r>
      <w:r>
        <w:rPr>
          <w:rFonts w:hint="eastAsia" w:ascii="仿宋_GB2312" w:hAnsi="仿宋_GB2312" w:eastAsia="仿宋_GB2312" w:cs="仿宋_GB2312"/>
          <w:color w:val="auto"/>
          <w:sz w:val="32"/>
          <w:szCs w:val="32"/>
          <w:lang w:val="en-US" w:eastAsia="zh-CN"/>
        </w:rPr>
        <w:t>新业态、新模式</w:t>
      </w:r>
      <w:r>
        <w:rPr>
          <w:rFonts w:hint="eastAsia" w:ascii="仿宋_GB2312" w:hAnsi="仿宋_GB2312" w:eastAsia="仿宋_GB2312" w:cs="仿宋_GB2312"/>
          <w:color w:val="auto"/>
          <w:sz w:val="32"/>
          <w:szCs w:val="32"/>
        </w:rPr>
        <w:t>开发一批创业项目库，依托现有创业载体设</w:t>
      </w:r>
      <w:r>
        <w:rPr>
          <w:rFonts w:hint="eastAsia" w:ascii="仿宋_GB2312" w:hAnsi="仿宋_GB2312" w:eastAsia="仿宋_GB2312" w:cs="仿宋_GB2312"/>
          <w:color w:val="auto"/>
          <w:sz w:val="32"/>
          <w:szCs w:val="32"/>
          <w:lang w:val="en-US" w:eastAsia="zh-CN"/>
        </w:rPr>
        <w:t>立</w:t>
      </w:r>
      <w:r>
        <w:rPr>
          <w:rFonts w:hint="eastAsia" w:ascii="仿宋_GB2312" w:hAnsi="仿宋_GB2312" w:eastAsia="仿宋_GB2312" w:cs="仿宋_GB2312"/>
          <w:color w:val="auto"/>
          <w:sz w:val="32"/>
          <w:szCs w:val="32"/>
        </w:rPr>
        <w:t>银发经济创业孵化专区和基地，</w:t>
      </w:r>
      <w:r>
        <w:rPr>
          <w:rFonts w:hint="eastAsia" w:ascii="仿宋_GB2312" w:hAnsi="仿宋_GB2312" w:eastAsia="仿宋_GB2312" w:cs="仿宋_GB2312"/>
          <w:color w:val="auto"/>
          <w:sz w:val="32"/>
          <w:szCs w:val="32"/>
          <w:lang w:val="en-US" w:eastAsia="zh-CN"/>
        </w:rPr>
        <w:t>山东省创业大赛等创业创新活动开</w:t>
      </w:r>
      <w:r>
        <w:rPr>
          <w:rFonts w:hint="eastAsia" w:ascii="仿宋_GB2312" w:hAnsi="仿宋_GB2312" w:eastAsia="仿宋_GB2312" w:cs="仿宋_GB2312"/>
          <w:color w:val="auto"/>
          <w:sz w:val="32"/>
          <w:szCs w:val="32"/>
        </w:rPr>
        <w:t>设银发经济新赛道，</w:t>
      </w:r>
      <w:r>
        <w:rPr>
          <w:rFonts w:hint="eastAsia" w:ascii="仿宋_GB2312" w:hAnsi="仿宋_GB2312" w:eastAsia="仿宋_GB2312" w:cs="仿宋_GB2312"/>
          <w:color w:val="auto"/>
          <w:sz w:val="32"/>
          <w:szCs w:val="32"/>
          <w:lang w:val="en-US" w:eastAsia="zh-CN"/>
        </w:rPr>
        <w:t>对银发经济领域创业者按规定落实</w:t>
      </w:r>
      <w:r>
        <w:rPr>
          <w:rFonts w:hint="eastAsia" w:ascii="仿宋_GB2312" w:hAnsi="仿宋_GB2312" w:eastAsia="仿宋_GB2312" w:cs="仿宋_GB2312"/>
          <w:color w:val="auto"/>
          <w:sz w:val="32"/>
          <w:szCs w:val="32"/>
        </w:rPr>
        <w:t>创业担保贷款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提高银发经济领域创业成功率。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加强银发经济企业用工服务保障。</w:t>
      </w:r>
      <w:r>
        <w:rPr>
          <w:rFonts w:hint="eastAsia" w:ascii="仿宋_GB2312" w:hAnsi="仿宋_GB2312" w:eastAsia="仿宋_GB2312" w:cs="仿宋_GB2312"/>
          <w:color w:val="auto"/>
          <w:sz w:val="32"/>
          <w:szCs w:val="32"/>
        </w:rPr>
        <w:t>将银发经济领域重点企业纳入</w:t>
      </w:r>
      <w:r>
        <w:rPr>
          <w:rFonts w:hint="eastAsia" w:ascii="仿宋_GB2312" w:hAnsi="仿宋_GB2312" w:eastAsia="仿宋_GB2312" w:cs="仿宋_GB2312"/>
          <w:color w:val="auto"/>
          <w:sz w:val="32"/>
          <w:szCs w:val="32"/>
          <w:lang w:val="en-US" w:eastAsia="zh-CN"/>
        </w:rPr>
        <w:t>各地</w:t>
      </w:r>
      <w:r>
        <w:rPr>
          <w:rFonts w:hint="eastAsia" w:ascii="仿宋_GB2312" w:hAnsi="仿宋_GB2312" w:eastAsia="仿宋_GB2312" w:cs="仿宋_GB2312"/>
          <w:color w:val="auto"/>
          <w:sz w:val="32"/>
          <w:szCs w:val="32"/>
        </w:rPr>
        <w:t>用工</w:t>
      </w:r>
      <w:r>
        <w:rPr>
          <w:rFonts w:hint="eastAsia" w:ascii="仿宋_GB2312" w:hAnsi="仿宋_GB2312" w:eastAsia="仿宋_GB2312" w:cs="仿宋_GB2312"/>
          <w:color w:val="auto"/>
          <w:sz w:val="32"/>
          <w:szCs w:val="32"/>
          <w:lang w:val="en-US" w:eastAsia="zh-CN"/>
        </w:rPr>
        <w:t>专员</w:t>
      </w:r>
      <w:r>
        <w:rPr>
          <w:rFonts w:hint="eastAsia" w:ascii="仿宋_GB2312" w:hAnsi="仿宋_GB2312" w:eastAsia="仿宋_GB2312" w:cs="仿宋_GB2312"/>
          <w:color w:val="auto"/>
          <w:sz w:val="32"/>
          <w:szCs w:val="32"/>
        </w:rPr>
        <w:t>服务保障范围，</w:t>
      </w:r>
      <w:r>
        <w:rPr>
          <w:rFonts w:hint="eastAsia" w:ascii="仿宋_GB2312" w:hAnsi="仿宋_GB2312" w:eastAsia="仿宋_GB2312" w:cs="仿宋_GB2312"/>
          <w:color w:val="auto"/>
          <w:sz w:val="32"/>
          <w:szCs w:val="32"/>
          <w:lang w:val="en-US" w:eastAsia="zh-CN"/>
        </w:rPr>
        <w:t>在</w:t>
      </w:r>
      <w:r>
        <w:rPr>
          <w:rFonts w:hint="eastAsia" w:ascii="仿宋_GB2312" w:hAnsi="Calibri" w:eastAsia="仿宋_GB2312" w:cs="仿宋_GB2312"/>
          <w:color w:val="auto"/>
          <w:kern w:val="2"/>
          <w:sz w:val="32"/>
          <w:szCs w:val="32"/>
          <w:lang w:val="en-US" w:eastAsia="zh-CN" w:bidi="ar"/>
        </w:rPr>
        <w:t>各级线上公共招聘平台</w:t>
      </w:r>
      <w:r>
        <w:rPr>
          <w:rFonts w:hint="eastAsia" w:ascii="仿宋_GB2312" w:hAnsi="仿宋_GB2312" w:eastAsia="仿宋_GB2312" w:cs="仿宋_GB2312"/>
          <w:color w:val="auto"/>
          <w:sz w:val="32"/>
          <w:szCs w:val="32"/>
        </w:rPr>
        <w:t>开设银发经济</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招聘专区，</w:t>
      </w:r>
      <w:r>
        <w:rPr>
          <w:rFonts w:hint="eastAsia" w:ascii="仿宋_GB2312" w:hAnsi="仿宋_GB2312" w:eastAsia="仿宋_GB2312" w:cs="仿宋_GB2312"/>
          <w:color w:val="auto"/>
          <w:sz w:val="32"/>
          <w:szCs w:val="32"/>
          <w:lang w:val="en-US" w:eastAsia="zh-CN"/>
        </w:rPr>
        <w:t>定期组织举办银发经济企业招聘周活动，</w:t>
      </w:r>
      <w:r>
        <w:rPr>
          <w:rFonts w:hint="eastAsia" w:ascii="仿宋_GB2312" w:hAnsi="仿宋_GB2312" w:eastAsia="仿宋_GB2312" w:cs="仿宋_GB2312"/>
          <w:color w:val="auto"/>
          <w:sz w:val="32"/>
          <w:szCs w:val="32"/>
        </w:rPr>
        <w:t>促进人岗匹配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提升银发经济用工保障能力。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加大银发经济</w:t>
      </w:r>
      <w:r>
        <w:rPr>
          <w:rFonts w:hint="eastAsia" w:ascii="楷体_GB2312" w:hAnsi="楷体_GB2312" w:eastAsia="楷体_GB2312" w:cs="楷体_GB2312"/>
          <w:color w:val="auto"/>
          <w:sz w:val="32"/>
          <w:szCs w:val="32"/>
          <w:lang w:val="en-US" w:eastAsia="zh-CN"/>
        </w:rPr>
        <w:t>领域</w:t>
      </w:r>
      <w:r>
        <w:rPr>
          <w:rFonts w:hint="eastAsia" w:ascii="楷体_GB2312" w:hAnsi="楷体_GB2312" w:eastAsia="楷体_GB2312" w:cs="楷体_GB2312"/>
          <w:color w:val="auto"/>
          <w:sz w:val="32"/>
          <w:szCs w:val="32"/>
        </w:rPr>
        <w:t>技能人才培养</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val="en-US" w:eastAsia="zh-CN"/>
        </w:rPr>
        <w:t>把</w:t>
      </w:r>
      <w:r>
        <w:rPr>
          <w:rFonts w:hint="eastAsia" w:ascii="仿宋_GB2312" w:hAnsi="Calibri" w:eastAsia="仿宋_GB2312" w:cs="仿宋_GB2312"/>
          <w:color w:val="auto"/>
          <w:kern w:val="2"/>
          <w:sz w:val="32"/>
          <w:szCs w:val="32"/>
          <w:lang w:val="en-US" w:eastAsia="zh-CN" w:bidi="ar"/>
        </w:rPr>
        <w:t>养老护理员、家政服务员</w:t>
      </w:r>
      <w:r>
        <w:rPr>
          <w:rFonts w:hint="eastAsia" w:ascii="仿宋_GB2312" w:hAnsi="仿宋_GB2312" w:eastAsia="仿宋_GB2312" w:cs="仿宋_GB2312"/>
          <w:color w:val="auto"/>
          <w:sz w:val="32"/>
          <w:szCs w:val="32"/>
        </w:rPr>
        <w:t>等银发经济急需紧缺职业纳入职业技能培训目录，</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技工院校主动对接银发经济市场需求优化调整专业设置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加强产教融合，指导</w:t>
      </w:r>
      <w:r>
        <w:rPr>
          <w:rFonts w:hint="eastAsia" w:ascii="仿宋_GB2312" w:hAnsi="仿宋_GB2312" w:eastAsia="仿宋_GB2312" w:cs="仿宋_GB2312"/>
          <w:color w:val="auto"/>
          <w:sz w:val="32"/>
          <w:szCs w:val="32"/>
          <w:lang w:val="en-US" w:eastAsia="zh-CN"/>
        </w:rPr>
        <w:t>有关部门和</w:t>
      </w:r>
      <w:r>
        <w:rPr>
          <w:rFonts w:hint="eastAsia" w:ascii="仿宋_GB2312" w:hAnsi="仿宋_GB2312" w:eastAsia="仿宋_GB2312" w:cs="仿宋_GB2312"/>
          <w:color w:val="auto"/>
          <w:sz w:val="32"/>
          <w:szCs w:val="32"/>
        </w:rPr>
        <w:t>地方组织开展技能竞赛活动</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设置养老护理、健康照护等相关赛</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rPr>
        <w:t>培养更多专业技能人才。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畅通银发经济领域人才发展空间。</w:t>
      </w:r>
      <w:r>
        <w:rPr>
          <w:rFonts w:hint="eastAsia" w:ascii="仿宋_GB2312" w:hAnsi="仿宋_GB2312" w:eastAsia="仿宋_GB2312" w:cs="仿宋_GB2312"/>
          <w:color w:val="auto"/>
          <w:sz w:val="32"/>
          <w:szCs w:val="32"/>
        </w:rPr>
        <w:t>指导银发经济领域用人单位自主开展技能人才评价，支持养老服务机构中从事医疗、康复、护理等各类专业技术工作的医务人员，按规定参加国家统一组织的卫生专业技术职业资格考试，</w:t>
      </w:r>
      <w:r>
        <w:rPr>
          <w:rFonts w:hint="eastAsia" w:ascii="仿宋_GB2312" w:hAnsi="仿宋_GB2312" w:eastAsia="仿宋_GB2312" w:cs="仿宋_GB2312"/>
          <w:i w:val="0"/>
          <w:caps w:val="0"/>
          <w:color w:val="auto"/>
          <w:spacing w:val="0"/>
          <w:sz w:val="32"/>
          <w:szCs w:val="32"/>
          <w:shd w:val="clear" w:fill="FFFFFF"/>
        </w:rPr>
        <w:t>按规定申报卫生系列高级职称评审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六）提升</w:t>
      </w:r>
      <w:r>
        <w:rPr>
          <w:rFonts w:hint="eastAsia" w:ascii="楷体_GB2312" w:hAnsi="楷体_GB2312" w:eastAsia="楷体_GB2312" w:cs="楷体_GB2312"/>
          <w:color w:val="auto"/>
          <w:sz w:val="32"/>
          <w:szCs w:val="32"/>
        </w:rPr>
        <w:t>银发经济领域岗位认同。</w:t>
      </w:r>
      <w:r>
        <w:rPr>
          <w:rFonts w:hint="eastAsia" w:ascii="仿宋_GB2312" w:hAnsi="仿宋_GB2312" w:eastAsia="仿宋_GB2312" w:cs="仿宋_GB2312"/>
          <w:color w:val="auto"/>
          <w:sz w:val="32"/>
          <w:szCs w:val="32"/>
        </w:rPr>
        <w:t>加强银发经济相关企业用工指导，推动企业改善生产生活条件，构建和谐劳动关系。落实完善事业性质养老服务机构收入分配政策，推进事业性质养老服务机构实施绩效工资，合理核定绩效工资总量，保障相关人员工资待遇。指导养老服务机构完善内部分配制度，坚持多劳多得、技高多得、优绩优酬，重点向关键岗位、业务骨干和作出突出工作成绩人员倾斜，充分发挥绩效工资激励导向作用，激发员工积极性。</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三、银发人力资源开发助力行动</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（一）探索建立银发人力资源登记服务制度。</w:t>
      </w:r>
      <w:r>
        <w:rPr>
          <w:rFonts w:hint="eastAsia" w:ascii="仿宋_GB2312" w:hAnsi="仿宋_GB2312" w:eastAsia="仿宋_GB2312" w:cs="仿宋_GB2312"/>
          <w:color w:val="auto"/>
          <w:sz w:val="32"/>
          <w:szCs w:val="32"/>
          <w:lang w:val="en-US" w:eastAsia="zh-CN"/>
        </w:rPr>
        <w:t>将有能力、有意愿的50周岁以上劳动者作为银发人力资源，全面纳入公共就业人才服务范围，按照自主登记、自主申请的原则，允许其在公共就业人才服务机构进行登记，免费享受职业指导、职业介绍等基本公共就业服务，按规定享受就业创业扶持政策。鼓励各地公共就业人才服务机构举办银发人力资源专场招聘活动，在集中招聘活动中开设银发人力资源专区，利用各类教育培训资源联合开展适老化职业技能培训。</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（二）鼓励开发</w:t>
      </w:r>
      <w:r>
        <w:rPr>
          <w:rFonts w:hint="eastAsia" w:ascii="楷体_GB2312" w:hAnsi="楷体_GB2312" w:eastAsia="楷体_GB2312" w:cs="楷体_GB2312"/>
          <w:color w:val="auto"/>
          <w:sz w:val="32"/>
          <w:szCs w:val="32"/>
        </w:rPr>
        <w:t>适老化</w:t>
      </w:r>
      <w:r>
        <w:rPr>
          <w:rFonts w:hint="eastAsia" w:ascii="楷体_GB2312" w:hAnsi="楷体_GB2312" w:eastAsia="楷体_GB2312" w:cs="楷体_GB2312"/>
          <w:color w:val="auto"/>
          <w:sz w:val="32"/>
          <w:szCs w:val="32"/>
          <w:lang w:val="en-US" w:eastAsia="zh-CN"/>
        </w:rPr>
        <w:t>工作</w:t>
      </w:r>
      <w:r>
        <w:rPr>
          <w:rFonts w:hint="eastAsia" w:ascii="楷体_GB2312" w:hAnsi="楷体_GB2312" w:eastAsia="楷体_GB2312" w:cs="楷体_GB2312"/>
          <w:color w:val="auto"/>
          <w:sz w:val="32"/>
          <w:szCs w:val="32"/>
        </w:rPr>
        <w:t>岗位</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引导用人单位大力开发适老化岗位，结合实际挖掘对经验、技术、耐性要求高，对体能、敏捷度要求较低的岗位，吸纳留用大龄劳动者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打造一批优质适老就业企业。大力发展“社区微业”，</w:t>
      </w:r>
      <w:r>
        <w:rPr>
          <w:rFonts w:hint="eastAsia" w:ascii="仿宋_GB2312" w:hAnsi="仿宋_GB2312" w:eastAsia="仿宋_GB2312" w:cs="仿宋_GB2312"/>
          <w:color w:val="auto"/>
          <w:sz w:val="32"/>
          <w:szCs w:val="32"/>
        </w:rPr>
        <w:t>支持公共部门、基层社区推广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社区微工厂”</w:t>
      </w:r>
      <w:r>
        <w:rPr>
          <w:rFonts w:hint="eastAsia" w:ascii="仿宋_GB2312" w:hAnsi="仿宋_GB2312" w:eastAsia="仿宋_GB2312" w:cs="仿宋_GB2312"/>
          <w:color w:val="auto"/>
          <w:sz w:val="32"/>
          <w:szCs w:val="32"/>
        </w:rPr>
        <w:t>“以老助老服务</w:t>
      </w:r>
      <w:r>
        <w:rPr>
          <w:rFonts w:hint="eastAsia" w:ascii="仿宋_GB2312" w:hAnsi="仿宋_GB2312" w:eastAsia="仿宋_GB2312" w:cs="仿宋_GB2312"/>
          <w:color w:val="auto"/>
          <w:sz w:val="32"/>
          <w:szCs w:val="32"/>
          <w:lang w:val="en-US" w:eastAsia="zh-CN"/>
        </w:rPr>
        <w:t>岗”</w:t>
      </w:r>
      <w:r>
        <w:rPr>
          <w:rFonts w:hint="eastAsia" w:ascii="仿宋_GB2312" w:hAnsi="仿宋_GB2312" w:eastAsia="仿宋_GB2312" w:cs="仿宋_GB2312"/>
          <w:color w:val="auto"/>
          <w:sz w:val="32"/>
          <w:szCs w:val="32"/>
        </w:rPr>
        <w:t>模式，</w:t>
      </w:r>
      <w:r>
        <w:rPr>
          <w:rFonts w:hint="eastAsia" w:ascii="仿宋_GB2312" w:hAnsi="仿宋_GB2312" w:eastAsia="仿宋_GB2312" w:cs="仿宋_GB2312"/>
          <w:color w:val="auto"/>
          <w:sz w:val="32"/>
          <w:szCs w:val="32"/>
          <w:lang w:val="en-US" w:eastAsia="zh-CN"/>
        </w:rPr>
        <w:t>促进银发群体“家门口”就业。</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三）支持离退休专业技术人员发挥作用。</w:t>
      </w:r>
      <w:r>
        <w:rPr>
          <w:rFonts w:hint="eastAsia" w:ascii="仿宋_GB2312" w:hAnsi="仿宋_GB2312" w:eastAsia="仿宋_GB2312" w:cs="仿宋_GB2312"/>
          <w:color w:val="auto"/>
          <w:sz w:val="32"/>
          <w:szCs w:val="32"/>
          <w:lang w:val="en-US" w:eastAsia="zh-CN"/>
        </w:rPr>
        <w:t>全面落实发挥离退休专业技术人员作用的相关规定，优化政策措施</w:t>
      </w:r>
      <w:r>
        <w:rPr>
          <w:rFonts w:hint="eastAsia" w:ascii="仿宋_GB2312" w:hAnsi="仿宋_GB2312" w:eastAsia="仿宋_GB2312" w:cs="仿宋_GB2312"/>
          <w:color w:val="auto"/>
          <w:sz w:val="32"/>
          <w:szCs w:val="32"/>
        </w:rPr>
        <w:t>，保障离退休专业技术人员返聘取得合理报酬、享受科技成果转化收益，促进老专家、手艺人等更好释放余热红利。</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default"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四）引导社会化力量为银发人力资源开发提供服务。</w:t>
      </w:r>
      <w:r>
        <w:rPr>
          <w:rFonts w:hint="eastAsia" w:ascii="仿宋_GB2312" w:hAnsi="仿宋_GB2312" w:eastAsia="仿宋_GB2312" w:cs="仿宋_GB2312"/>
          <w:color w:val="auto"/>
          <w:sz w:val="32"/>
          <w:szCs w:val="32"/>
        </w:rPr>
        <w:t>支持人力资源服务机构开发适合老龄人力资源的就业岗位、技术产品和服务模式，提供专业化</w:t>
      </w:r>
      <w:r>
        <w:rPr>
          <w:rFonts w:hint="eastAsia" w:ascii="仿宋_GB2312" w:hAnsi="仿宋_GB2312" w:eastAsia="仿宋_GB2312" w:cs="仿宋_GB2312"/>
          <w:color w:val="auto"/>
          <w:sz w:val="32"/>
          <w:szCs w:val="32"/>
          <w:lang w:val="en-US" w:eastAsia="zh-CN"/>
        </w:rPr>
        <w:t>人力资源服务</w:t>
      </w:r>
      <w:r>
        <w:rPr>
          <w:rFonts w:hint="eastAsia" w:ascii="仿宋_GB2312" w:hAnsi="仿宋_GB2312" w:eastAsia="仿宋_GB2312" w:cs="仿宋_GB2312"/>
          <w:color w:val="auto"/>
          <w:sz w:val="32"/>
          <w:szCs w:val="32"/>
        </w:rPr>
        <w:t>，充分发掘</w:t>
      </w:r>
      <w:r>
        <w:rPr>
          <w:rFonts w:hint="eastAsia" w:ascii="仿宋_GB2312" w:hAnsi="仿宋_GB2312" w:eastAsia="仿宋_GB2312" w:cs="仿宋_GB2312"/>
          <w:color w:val="auto"/>
          <w:sz w:val="32"/>
          <w:szCs w:val="32"/>
          <w:lang w:val="en-US" w:eastAsia="zh-CN"/>
        </w:rPr>
        <w:t>老龄</w:t>
      </w:r>
      <w:r>
        <w:rPr>
          <w:rFonts w:hint="eastAsia" w:ascii="仿宋_GB2312" w:hAnsi="仿宋_GB2312" w:eastAsia="仿宋_GB2312" w:cs="仿宋_GB2312"/>
          <w:color w:val="auto"/>
          <w:sz w:val="32"/>
          <w:szCs w:val="32"/>
        </w:rPr>
        <w:t>人力资源潜力和价值</w:t>
      </w:r>
      <w:r>
        <w:rPr>
          <w:rFonts w:hint="eastAsia" w:ascii="仿宋_GB2312" w:hAnsi="仿宋_GB2312" w:eastAsia="仿宋_GB2312" w:cs="仿宋_GB2312"/>
          <w:color w:val="auto"/>
          <w:sz w:val="32"/>
          <w:szCs w:val="32"/>
          <w:lang w:val="en-US" w:eastAsia="zh-CN"/>
        </w:rPr>
        <w:t>。面向</w:t>
      </w:r>
      <w:r>
        <w:rPr>
          <w:rFonts w:hint="eastAsia" w:ascii="仿宋_GB2312" w:hAnsi="仿宋_GB2312" w:eastAsia="仿宋_GB2312" w:cs="仿宋_GB2312"/>
          <w:color w:val="auto"/>
          <w:sz w:val="32"/>
          <w:szCs w:val="32"/>
        </w:rPr>
        <w:t>家政、养老、康养护理、文化旅游等行业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抓好银发</w:t>
      </w:r>
      <w:r>
        <w:rPr>
          <w:rFonts w:hint="eastAsia" w:ascii="仿宋_GB2312" w:hAnsi="仿宋_GB2312" w:eastAsia="仿宋_GB2312" w:cs="仿宋_GB2312"/>
          <w:color w:val="auto"/>
          <w:sz w:val="32"/>
          <w:szCs w:val="32"/>
          <w:lang w:val="en-US" w:eastAsia="zh-CN"/>
        </w:rPr>
        <w:t>经济劳务</w:t>
      </w:r>
      <w:r>
        <w:rPr>
          <w:rFonts w:hint="eastAsia" w:ascii="仿宋_GB2312" w:hAnsi="仿宋_GB2312" w:eastAsia="仿宋_GB2312" w:cs="仿宋_GB2312"/>
          <w:color w:val="auto"/>
          <w:sz w:val="32"/>
          <w:szCs w:val="32"/>
        </w:rPr>
        <w:t>品牌建设</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五）加大特困银发群体岗位帮扶。</w:t>
      </w:r>
      <w:r>
        <w:rPr>
          <w:rFonts w:hint="eastAsia" w:ascii="仿宋_GB2312" w:hAnsi="仿宋_GB2312" w:eastAsia="仿宋_GB2312" w:cs="仿宋_GB2312"/>
          <w:color w:val="auto"/>
          <w:sz w:val="32"/>
          <w:szCs w:val="32"/>
          <w:lang w:val="en-US" w:eastAsia="zh-CN"/>
        </w:rPr>
        <w:t>把银发人力资源中脱贫享受政策人口（含防止返贫监测帮扶对象）、低收入人口、残疾人等作为重点对象，加大定向帮扶力度，促进劳动增收脱困。对其中符合城乡公益性岗位安置条件的，按规定组织上岗。</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（六）加强银发群体劳动权益保障。</w:t>
      </w:r>
      <w:r>
        <w:rPr>
          <w:rFonts w:hint="eastAsia" w:ascii="仿宋_GB2312" w:hAnsi="仿宋_GB2312" w:eastAsia="仿宋_GB2312" w:cs="仿宋_GB2312"/>
          <w:color w:val="auto"/>
          <w:sz w:val="32"/>
          <w:szCs w:val="32"/>
          <w:lang w:val="en-US" w:eastAsia="zh-CN"/>
        </w:rPr>
        <w:t>落实超龄人员等特定从业人员参加工伤保险政策</w:t>
      </w:r>
      <w:r>
        <w:rPr>
          <w:rFonts w:hint="eastAsia" w:ascii="仿宋_GB2312" w:hAnsi="仿宋_GB2312" w:eastAsia="仿宋_GB2312" w:cs="仿宋_GB2312"/>
          <w:color w:val="auto"/>
          <w:sz w:val="32"/>
          <w:szCs w:val="32"/>
        </w:rPr>
        <w:t>，引导用人单位依法保障</w:t>
      </w:r>
      <w:r>
        <w:rPr>
          <w:rFonts w:hint="eastAsia" w:ascii="仿宋_GB2312" w:hAnsi="仿宋_GB2312" w:eastAsia="仿宋_GB2312" w:cs="仿宋_GB2312"/>
          <w:color w:val="auto"/>
          <w:sz w:val="32"/>
          <w:szCs w:val="32"/>
          <w:lang w:val="en-US" w:eastAsia="zh-CN"/>
        </w:rPr>
        <w:t>大龄老</w:t>
      </w:r>
      <w:r>
        <w:rPr>
          <w:rFonts w:hint="eastAsia" w:ascii="仿宋_GB2312" w:hAnsi="仿宋_GB2312" w:eastAsia="仿宋_GB2312" w:cs="仿宋_GB2312"/>
          <w:color w:val="auto"/>
          <w:sz w:val="32"/>
          <w:szCs w:val="32"/>
        </w:rPr>
        <w:t>龄劳动者劳动报酬、休息休假、保险福利等权益。针对银发经济领域相关劳动纠纷、工伤认定、劳动能力鉴定等事项，畅通大龄劳动者法律援助申请渠道，探索开辟绿色通道，优先从快处理，依法保障劳动者合法权益。</w:t>
      </w:r>
      <w:r>
        <w:rPr>
          <w:rFonts w:hint="eastAsia" w:ascii="仿宋_GB2312" w:hAnsi="仿宋_GB2312" w:eastAsia="仿宋_GB2312" w:cs="仿宋_GB2312"/>
          <w:color w:val="auto"/>
          <w:sz w:val="32"/>
          <w:szCs w:val="32"/>
          <w:lang w:val="en-US" w:eastAsia="zh-CN"/>
        </w:rPr>
        <w:t>加强银发人力资源开发方面的政银、政保合作，支持商业银行、保险机构推出相关商业贷款、商业保险产品，为银发群体提供多元化保障。</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一）加强组织领导。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rPr>
        <w:t>人力资源社会保障部门要进一步提高政治站位，将</w:t>
      </w:r>
      <w:r>
        <w:rPr>
          <w:rFonts w:hint="eastAsia" w:ascii="仿宋_GB2312" w:hAnsi="仿宋_GB2312" w:eastAsia="仿宋_GB2312" w:cs="仿宋_GB2312"/>
          <w:color w:val="auto"/>
          <w:sz w:val="32"/>
          <w:szCs w:val="32"/>
          <w:lang w:val="en-US" w:eastAsia="zh-CN"/>
        </w:rPr>
        <w:t>“双银”助力行动</w:t>
      </w:r>
      <w:r>
        <w:rPr>
          <w:rFonts w:hint="eastAsia" w:ascii="仿宋_GB2312" w:hAnsi="仿宋_GB2312" w:eastAsia="仿宋_GB2312" w:cs="仿宋_GB2312"/>
          <w:color w:val="auto"/>
          <w:sz w:val="32"/>
          <w:szCs w:val="32"/>
        </w:rPr>
        <w:t>作为重要政治任务</w:t>
      </w:r>
      <w:r>
        <w:rPr>
          <w:rFonts w:hint="eastAsia" w:ascii="仿宋_GB2312" w:hAnsi="仿宋_GB2312" w:eastAsia="仿宋_GB2312" w:cs="仿宋_GB2312"/>
          <w:color w:val="auto"/>
          <w:sz w:val="32"/>
          <w:szCs w:val="32"/>
          <w:lang w:val="en-US" w:eastAsia="zh-CN"/>
        </w:rPr>
        <w:t>来抓，完</w:t>
      </w:r>
      <w:r>
        <w:rPr>
          <w:rFonts w:hint="eastAsia" w:ascii="仿宋_GB2312" w:hAnsi="仿宋_GB2312" w:eastAsia="仿宋_GB2312" w:cs="仿宋_GB2312"/>
          <w:color w:val="auto"/>
          <w:sz w:val="32"/>
          <w:szCs w:val="32"/>
        </w:rPr>
        <w:t>善工作机制，</w:t>
      </w:r>
      <w:r>
        <w:rPr>
          <w:rFonts w:hint="eastAsia" w:ascii="仿宋_GB2312" w:hAnsi="仿宋_GB2312" w:eastAsia="仿宋_GB2312" w:cs="仿宋_GB2312"/>
          <w:color w:val="auto"/>
          <w:sz w:val="32"/>
          <w:szCs w:val="32"/>
          <w:lang w:val="en-US" w:eastAsia="zh-CN"/>
        </w:rPr>
        <w:t>细化工作方案，</w:t>
      </w:r>
      <w:r>
        <w:rPr>
          <w:rFonts w:hint="eastAsia" w:ascii="仿宋_GB2312" w:hAnsi="仿宋_GB2312" w:eastAsia="仿宋_GB2312" w:cs="仿宋_GB2312"/>
          <w:color w:val="auto"/>
          <w:sz w:val="32"/>
          <w:szCs w:val="32"/>
        </w:rPr>
        <w:t>加强统筹协调，</w:t>
      </w:r>
      <w:r>
        <w:rPr>
          <w:rFonts w:hint="eastAsia" w:ascii="仿宋_GB2312" w:hAnsi="仿宋_GB2312" w:eastAsia="仿宋_GB2312" w:cs="仿宋_GB2312"/>
          <w:color w:val="auto"/>
          <w:sz w:val="32"/>
          <w:szCs w:val="32"/>
          <w:lang w:val="en-US" w:eastAsia="zh-CN"/>
        </w:rPr>
        <w:t>形成整体合力，确保工作实效。</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（二）深化改革创新。</w:t>
      </w:r>
      <w:r>
        <w:rPr>
          <w:rFonts w:hint="eastAsia" w:ascii="仿宋_GB2312" w:hAnsi="仿宋_GB2312" w:eastAsia="仿宋_GB2312" w:cs="仿宋_GB2312"/>
          <w:color w:val="auto"/>
          <w:sz w:val="32"/>
          <w:szCs w:val="32"/>
          <w:lang w:val="en-US" w:eastAsia="zh-CN"/>
        </w:rPr>
        <w:t>各地要结合</w:t>
      </w:r>
      <w:r>
        <w:rPr>
          <w:rFonts w:hint="eastAsia" w:ascii="仿宋_GB2312" w:hAnsi="仿宋_GB2312" w:eastAsia="仿宋_GB2312" w:cs="仿宋_GB2312"/>
          <w:color w:val="auto"/>
          <w:sz w:val="32"/>
          <w:szCs w:val="32"/>
        </w:rPr>
        <w:t>地方实际，</w:t>
      </w:r>
      <w:r>
        <w:rPr>
          <w:rFonts w:hint="eastAsia" w:ascii="仿宋_GB2312" w:hAnsi="仿宋_GB2312" w:eastAsia="仿宋_GB2312" w:cs="仿宋_GB2312"/>
          <w:color w:val="auto"/>
          <w:sz w:val="32"/>
          <w:szCs w:val="32"/>
          <w:lang w:val="en-US" w:eastAsia="zh-CN"/>
        </w:rPr>
        <w:t>围绕银发群体的</w:t>
      </w:r>
      <w:r>
        <w:rPr>
          <w:rFonts w:hint="eastAsia" w:ascii="仿宋_GB2312" w:hAnsi="仿宋_GB2312" w:eastAsia="仿宋_GB2312" w:cs="仿宋_GB2312"/>
          <w:color w:val="auto"/>
          <w:sz w:val="32"/>
          <w:szCs w:val="32"/>
        </w:rPr>
        <w:t>急难愁盼问题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加大改革力度，</w:t>
      </w:r>
      <w:r>
        <w:rPr>
          <w:rFonts w:hint="eastAsia" w:ascii="仿宋_GB2312" w:hAnsi="仿宋_GB2312" w:eastAsia="仿宋_GB2312" w:cs="仿宋_GB2312"/>
          <w:color w:val="auto"/>
          <w:sz w:val="32"/>
          <w:szCs w:val="32"/>
        </w:rPr>
        <w:t>创新思路举措，加力推动各项政策</w:t>
      </w:r>
      <w:r>
        <w:rPr>
          <w:rFonts w:hint="eastAsia" w:ascii="仿宋_GB2312" w:hAnsi="仿宋_GB2312" w:eastAsia="仿宋_GB2312" w:cs="仿宋_GB2312"/>
          <w:color w:val="auto"/>
          <w:sz w:val="32"/>
          <w:szCs w:val="32"/>
          <w:lang w:val="en-US" w:eastAsia="zh-CN"/>
        </w:rPr>
        <w:t>措施</w:t>
      </w:r>
      <w:r>
        <w:rPr>
          <w:rFonts w:hint="eastAsia" w:ascii="仿宋_GB2312" w:hAnsi="仿宋_GB2312" w:eastAsia="仿宋_GB2312" w:cs="仿宋_GB2312"/>
          <w:color w:val="auto"/>
          <w:sz w:val="32"/>
          <w:szCs w:val="32"/>
        </w:rPr>
        <w:t>落地见效。</w:t>
      </w:r>
      <w:r>
        <w:rPr>
          <w:rFonts w:hint="eastAsia" w:ascii="仿宋_GB2312" w:hAnsi="仿宋_GB2312" w:eastAsia="仿宋_GB2312" w:cs="仿宋_GB2312"/>
          <w:color w:val="auto"/>
          <w:sz w:val="32"/>
          <w:szCs w:val="32"/>
          <w:lang w:val="en-US" w:eastAsia="zh-CN"/>
        </w:rPr>
        <w:t>省厅采取“揭榜领题”方式，每年向各地征集推出“双银”助力方面的改革事项，聚力</w:t>
      </w:r>
      <w:r>
        <w:rPr>
          <w:rFonts w:hint="eastAsia" w:ascii="仿宋_GB2312" w:hAnsi="仿宋_GB2312" w:eastAsia="仿宋_GB2312" w:cs="仿宋_GB2312"/>
          <w:color w:val="auto"/>
          <w:sz w:val="32"/>
          <w:szCs w:val="32"/>
        </w:rPr>
        <w:t>抓好办成</w:t>
      </w:r>
      <w:r>
        <w:rPr>
          <w:rFonts w:hint="eastAsia" w:ascii="仿宋_GB2312" w:hAnsi="仿宋_GB2312" w:eastAsia="仿宋_GB2312" w:cs="仿宋_GB2312"/>
          <w:color w:val="auto"/>
          <w:sz w:val="32"/>
          <w:szCs w:val="32"/>
          <w:lang w:val="en-US" w:eastAsia="zh-CN"/>
        </w:rPr>
        <w:t>一批</w:t>
      </w:r>
      <w:r>
        <w:rPr>
          <w:rFonts w:hint="eastAsia" w:ascii="仿宋_GB2312" w:hAnsi="仿宋_GB2312" w:eastAsia="仿宋_GB2312" w:cs="仿宋_GB2312"/>
          <w:color w:val="auto"/>
          <w:sz w:val="32"/>
          <w:szCs w:val="32"/>
        </w:rPr>
        <w:t>群众可感可及的实事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强化数字赋能。</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z w:val="32"/>
          <w:szCs w:val="32"/>
          <w:lang w:val="en-US" w:eastAsia="zh-CN"/>
        </w:rPr>
        <w:t>“双银”助力行动</w:t>
      </w:r>
      <w:r>
        <w:rPr>
          <w:rFonts w:hint="eastAsia" w:ascii="仿宋_GB2312" w:hAnsi="仿宋_GB2312" w:eastAsia="仿宋_GB2312" w:cs="仿宋_GB2312"/>
          <w:color w:val="auto"/>
          <w:sz w:val="32"/>
          <w:szCs w:val="32"/>
        </w:rPr>
        <w:t>数据要素支撑</w:t>
      </w:r>
      <w:r>
        <w:rPr>
          <w:rFonts w:hint="eastAsia" w:ascii="仿宋_GB2312" w:hAnsi="仿宋_GB2312" w:eastAsia="仿宋_GB2312" w:cs="仿宋_GB2312"/>
          <w:color w:val="auto"/>
          <w:sz w:val="32"/>
          <w:szCs w:val="32"/>
          <w:lang w:val="en-US" w:eastAsia="zh-CN"/>
        </w:rPr>
        <w:t>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依托“智慧人社”</w:t>
      </w:r>
      <w:r>
        <w:rPr>
          <w:rFonts w:hint="eastAsia" w:ascii="仿宋_GB2312" w:eastAsia="仿宋_GB2312"/>
          <w:color w:val="auto"/>
          <w:sz w:val="32"/>
          <w:szCs w:val="32"/>
        </w:rPr>
        <w:t>一体化建设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人社各业务板块之间和相关部门之间的涉老</w:t>
      </w:r>
      <w:r>
        <w:rPr>
          <w:rFonts w:hint="eastAsia" w:ascii="仿宋_GB2312" w:hAnsi="仿宋_GB2312" w:eastAsia="仿宋_GB2312" w:cs="仿宋_GB2312"/>
          <w:color w:val="auto"/>
          <w:sz w:val="32"/>
          <w:szCs w:val="32"/>
        </w:rPr>
        <w:t>数据共享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进一步便利涉企服务，对银发经济领域政策落实、员工招聘、参保登记、档案转递等事项打包办、提速办，着力提高政策享受可感可及程度。</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四）加大</w:t>
      </w:r>
      <w:r>
        <w:rPr>
          <w:rFonts w:hint="eastAsia" w:ascii="楷体_GB2312" w:hAnsi="楷体_GB2312" w:eastAsia="楷体_GB2312" w:cs="楷体_GB2312"/>
          <w:color w:val="auto"/>
          <w:sz w:val="32"/>
          <w:szCs w:val="32"/>
        </w:rPr>
        <w:t>宣传引导</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val="en-US" w:eastAsia="zh-CN"/>
        </w:rPr>
        <w:t>坚持正面宣传，充分利用主流媒体，</w:t>
      </w:r>
      <w:r>
        <w:rPr>
          <w:rFonts w:hint="eastAsia" w:ascii="仿宋_GB2312" w:hAnsi="仿宋_GB2312" w:eastAsia="仿宋_GB2312" w:cs="仿宋_GB2312"/>
          <w:color w:val="auto"/>
          <w:sz w:val="32"/>
          <w:szCs w:val="32"/>
        </w:rPr>
        <w:t>积极宣传“老年财富论”，</w:t>
      </w:r>
      <w:r>
        <w:rPr>
          <w:rFonts w:hint="eastAsia" w:ascii="仿宋_GB2312" w:hAnsi="仿宋_GB2312" w:eastAsia="仿宋_GB2312" w:cs="仿宋_GB2312"/>
          <w:color w:val="auto"/>
          <w:sz w:val="32"/>
          <w:szCs w:val="32"/>
          <w:lang w:val="en-US" w:eastAsia="zh-CN"/>
        </w:rPr>
        <w:t>大力宣传银发经济发展和银发人力资源开发的先进</w:t>
      </w:r>
      <w:r>
        <w:rPr>
          <w:rFonts w:hint="eastAsia" w:ascii="仿宋_GB2312" w:hAnsi="仿宋_GB2312" w:eastAsia="仿宋_GB2312" w:cs="仿宋_GB2312"/>
          <w:color w:val="auto"/>
          <w:sz w:val="32"/>
          <w:szCs w:val="32"/>
        </w:rPr>
        <w:t>典型，</w:t>
      </w:r>
      <w:r>
        <w:rPr>
          <w:rFonts w:hint="eastAsia" w:ascii="仿宋_GB2312" w:hAnsi="仿宋_GB2312" w:eastAsia="仿宋_GB2312" w:cs="仿宋_GB2312"/>
          <w:color w:val="auto"/>
          <w:sz w:val="32"/>
          <w:szCs w:val="32"/>
          <w:lang w:val="en-US" w:eastAsia="zh-CN"/>
        </w:rPr>
        <w:t>及时总结推广各地“双银”助力行动的经验做法，</w:t>
      </w:r>
      <w:r>
        <w:rPr>
          <w:rFonts w:hint="eastAsia" w:ascii="仿宋_GB2312" w:hAnsi="仿宋_GB2312" w:eastAsia="仿宋_GB2312" w:cs="仿宋_GB2312"/>
          <w:color w:val="auto"/>
          <w:sz w:val="32"/>
          <w:szCs w:val="32"/>
        </w:rPr>
        <w:t>营造社会各方关心支持银发经济</w:t>
      </w:r>
      <w:r>
        <w:rPr>
          <w:rFonts w:hint="eastAsia" w:ascii="仿宋_GB2312" w:hAnsi="仿宋_GB2312" w:eastAsia="仿宋_GB2312" w:cs="仿宋_GB2312"/>
          <w:color w:val="auto"/>
          <w:sz w:val="32"/>
          <w:szCs w:val="32"/>
          <w:lang w:val="en-US" w:eastAsia="zh-CN"/>
        </w:rPr>
        <w:t>和银发人力资源</w:t>
      </w:r>
      <w:r>
        <w:rPr>
          <w:rFonts w:hint="eastAsia" w:ascii="仿宋_GB2312" w:hAnsi="仿宋_GB2312" w:eastAsia="仿宋_GB2312" w:cs="仿宋_GB2312"/>
          <w:color w:val="auto"/>
          <w:sz w:val="32"/>
          <w:szCs w:val="32"/>
        </w:rPr>
        <w:t>的良好氛围。</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3792" w:firstLineChars="120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山东省</w:t>
      </w:r>
      <w:r>
        <w:rPr>
          <w:rFonts w:hint="eastAsia" w:ascii="仿宋_GB2312" w:hAnsi="仿宋_GB2312" w:eastAsia="仿宋_GB2312" w:cs="仿宋_GB2312"/>
          <w:color w:val="auto"/>
          <w:sz w:val="32"/>
          <w:szCs w:val="32"/>
        </w:rPr>
        <w:t>人力资源</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社会保障</w:t>
      </w:r>
      <w:r>
        <w:rPr>
          <w:rFonts w:hint="eastAsia" w:ascii="仿宋_GB2312" w:hAnsi="仿宋_GB2312" w:eastAsia="仿宋_GB2312" w:cs="仿宋_GB2312"/>
          <w:color w:val="auto"/>
          <w:sz w:val="32"/>
          <w:szCs w:val="32"/>
          <w:lang w:val="en-US" w:eastAsia="zh-CN"/>
        </w:rPr>
        <w:t>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3792" w:firstLineChars="120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val="0"/>
        <w:overflowPunct/>
        <w:topLinePunct w:val="0"/>
        <w:autoSpaceDE/>
        <w:autoSpaceDN/>
        <w:bidi w:val="0"/>
        <w:adjustRightInd/>
        <w:snapToGrid/>
        <w:spacing w:line="586" w:lineRule="exact"/>
        <w:ind w:left="0" w:leftChars="0" w:right="0" w:rightChars="0" w:firstLine="632" w:firstLineChars="200"/>
        <w:jc w:val="left"/>
        <w:textAlignment w:val="auto"/>
        <w:outlineLvl w:val="9"/>
        <w:rPr>
          <w:rFonts w:hint="default" w:ascii="仿宋_GB2312" w:hAnsi="仿宋_GB2312" w:eastAsia="仿宋_GB2312" w:cs="仿宋_GB2312"/>
          <w:color w:val="auto"/>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6" w:lineRule="exact"/>
        <w:ind w:left="0" w:leftChars="0" w:right="0" w:rightChars="0" w:firstLine="632" w:firstLineChars="200"/>
        <w:jc w:val="left"/>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（联系单位：就业促进处）</w:t>
      </w: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textAlignment w:val="auto"/>
        <w:rPr>
          <w:rFonts w:hint="eastAsia" w:ascii="仿宋_GB2312" w:hAnsi="黑体" w:eastAsia="仿宋_GB2312"/>
          <w:color w:val="auto"/>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pt;height:0pt;width:442.2pt;z-index:251661312;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9QLlNQAAAAEAQAADwAAAAAAAAABACAAAAAiAAAAZHJzL2Rvd25yZXYueG1sUEsBAhQA&#10;FAAAAAgAh07iQCfvvYn2AQAA5Q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12</w:t>
      </w:r>
      <w:bookmarkStart w:id="0" w:name="_GoBack"/>
      <w:bookmarkEnd w:id="0"/>
      <w:r>
        <w:rPr>
          <w:rFonts w:hint="eastAsia" w:ascii="仿宋_GB2312" w:eastAsia="仿宋_GB2312"/>
          <w:color w:val="auto"/>
          <w:sz w:val="28"/>
          <w:szCs w:val="28"/>
        </w:rPr>
        <w:t>日印发</w:t>
      </w:r>
    </w:p>
    <w:p>
      <w:pPr>
        <w:keepNext w:val="0"/>
        <w:keepLines w:val="0"/>
        <w:pageBreakBefore w:val="0"/>
        <w:kinsoku/>
        <w:wordWrap/>
        <w:overflowPunct/>
        <w:autoSpaceDE/>
        <w:autoSpaceDN/>
        <w:bidi w:val="0"/>
        <w:adjustRightInd/>
        <w:snapToGrid/>
        <w:spacing w:line="240" w:lineRule="auto"/>
        <w:ind w:firstLine="316" w:firstLineChars="100"/>
        <w:textAlignment w:val="auto"/>
        <w:rPr>
          <w:rFonts w:hint="eastAsia" w:ascii="仿宋_GB2312" w:hAnsi="仿宋_GB2312" w:eastAsia="仿宋_GB2312" w:cs="仿宋_GB2312"/>
          <w:color w:val="auto"/>
          <w:sz w:val="32"/>
          <w:szCs w:val="32"/>
          <w:lang w:eastAsia="zh-CN"/>
        </w:rPr>
      </w:pPr>
      <w:r>
        <w:rPr>
          <w:rFonts w:hint="eastAsia"/>
          <w:color w:val="auto"/>
        </w:rPr>
        <mc:AlternateContent>
          <mc:Choice Requires="wps">
            <w:drawing>
              <wp:anchor distT="0" distB="0" distL="114300" distR="114300" simplePos="0" relativeHeight="251662336" behindDoc="0" locked="0" layoutInCell="1" allowOverlap="0">
                <wp:simplePos x="0" y="0"/>
                <wp:positionH relativeFrom="column">
                  <wp:posOffset>0</wp:posOffset>
                </wp:positionH>
                <wp:positionV relativeFrom="paragraph">
                  <wp:posOffset>379730</wp:posOffset>
                </wp:positionV>
                <wp:extent cx="561594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9pt;height:0pt;width:442.2pt;z-index:251662336;mso-width-relative:page;mso-height-relative:page;" filled="f" stroked="t" coordsize="21600,21600" o:allowoverlap="f" o:gfxdata="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5LqQNUAAAAGAQAADwAAAAAAAAABACAAAAAiAAAAZHJzL2Rvd25yZXYueG1sUEsBAhQA&#10;FAAAAAgAh07iQIwi2jb1AQAA5QMAAA4AAAAAAAAAAQAgAAAAJAEAAGRycy9lMm9Eb2MueG1sUEsF&#10;BgAAAAAGAAYAWQEAAIsFAAAAAA==&#10;">
                <v:fill on="f" focussize="0,0"/>
                <v:stroke weight="1.2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-1270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1pt;height:0pt;width:442.2pt;mso-position-horizontal:center;z-index:251660288;mso-width-relative:page;mso-height-relative:page;" filled="f" stroked="t" coordsize="21600,21600" o:gfxdata="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JYR0QAAAAQBAAAPAAAAAAAAAAEAIAAAACIAAABkcnMvZG93bnJldi54bWxQSwECFAAUAAAA&#10;CACHTuJAO8ehNfUBAADkAwAADgAAAAAAAAABACAAAAAgAQAAZHJzL2Uyb0RvYy54bWxQSwUGAAAA&#10;AAYABgBZAQAAhwU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校核人：王诗喻</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345B7D1A"/>
    <w:rsid w:val="059BEE2D"/>
    <w:rsid w:val="08BD228B"/>
    <w:rsid w:val="17C3153E"/>
    <w:rsid w:val="1A44653B"/>
    <w:rsid w:val="1A9D130C"/>
    <w:rsid w:val="1DC428F6"/>
    <w:rsid w:val="21FC366E"/>
    <w:rsid w:val="296F3E37"/>
    <w:rsid w:val="29DD09B8"/>
    <w:rsid w:val="29F55469"/>
    <w:rsid w:val="2F312679"/>
    <w:rsid w:val="345B7D1A"/>
    <w:rsid w:val="375A305F"/>
    <w:rsid w:val="379D1BCB"/>
    <w:rsid w:val="3BA85AD0"/>
    <w:rsid w:val="40E15D4E"/>
    <w:rsid w:val="43E02569"/>
    <w:rsid w:val="576C7590"/>
    <w:rsid w:val="5882636C"/>
    <w:rsid w:val="59F36649"/>
    <w:rsid w:val="5BEA2D96"/>
    <w:rsid w:val="5C8B0A18"/>
    <w:rsid w:val="5EC718E1"/>
    <w:rsid w:val="65DE261A"/>
    <w:rsid w:val="65E96C69"/>
    <w:rsid w:val="66776FD9"/>
    <w:rsid w:val="69FB0756"/>
    <w:rsid w:val="6A8D7A52"/>
    <w:rsid w:val="6E4776A2"/>
    <w:rsid w:val="6E80745E"/>
    <w:rsid w:val="77FF16FB"/>
    <w:rsid w:val="7A9F6E3F"/>
    <w:rsid w:val="7AFEACFA"/>
    <w:rsid w:val="7B7F9895"/>
    <w:rsid w:val="7E6336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2664</Words>
  <Characters>2683</Characters>
  <Lines>0</Lines>
  <Paragraphs>0</Paragraphs>
  <TotalTime>1</TotalTime>
  <ScaleCrop>false</ScaleCrop>
  <LinksUpToDate>false</LinksUpToDate>
  <CharactersWithSpaces>2693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2024-06-21T23:06:00Z</dcterms:created>
  <dc:creator>Tone-董廷杰</dc:creator>
  <cp:lastModifiedBy>LTGX03</cp:lastModifiedBy>
  <cp:lastPrinted>2024-07-09T18:57:00Z</cp:lastPrinted>
  <dcterms:modified xsi:type="dcterms:W3CDTF">2024-07-12T05:47:31Z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FB2FC8759A4543BA961CF7D4608522B9_11</vt:lpwstr>
  </property>
</Properties>
</file>