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eastAsia="仿宋_GB2312"/>
          <w:color w:val="auto"/>
          <w:sz w:val="32"/>
          <w:szCs w:val="32"/>
          <w:lang w:eastAsia="zh-CN"/>
        </w:rPr>
      </w:pPr>
      <w:bookmarkStart w:id="0" w:name="_GoBack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/>
          <w:color w:val="auto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/>
          <w:color w:val="auto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/>
          <w:color w:val="auto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/>
          <w:color w:val="auto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/>
          <w:color w:val="auto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eastAsia="zh-CN"/>
        </w:rPr>
        <w:t>鲁人社字〔</w:t>
      </w:r>
      <w:r>
        <w:rPr>
          <w:rFonts w:hint="eastAsia"/>
          <w:color w:val="auto"/>
          <w:sz w:val="32"/>
          <w:szCs w:val="32"/>
          <w:lang w:val="en-US" w:eastAsia="zh-CN"/>
        </w:rPr>
        <w:t>2024</w:t>
      </w:r>
      <w:r>
        <w:rPr>
          <w:rFonts w:hint="eastAsia"/>
          <w:color w:val="auto"/>
          <w:sz w:val="32"/>
          <w:szCs w:val="32"/>
          <w:lang w:eastAsia="zh-CN"/>
        </w:rPr>
        <w:t>〕</w:t>
      </w:r>
      <w:r>
        <w:rPr>
          <w:rFonts w:hint="eastAsia"/>
          <w:color w:val="auto"/>
          <w:sz w:val="32"/>
          <w:szCs w:val="32"/>
          <w:lang w:val="en-US" w:eastAsia="zh-CN"/>
        </w:rPr>
        <w:t>33号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山东省人力资源和社会保障厅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印发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《2024年山东省重大项目重点企业用工服务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保障“助企护航”行动实施方案》的通知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各市人力资源社会保障局：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hAnsi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现将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《2024年山东省重大项目重点企业用工服务保障“助企护航”行动实施方案》</w:t>
      </w:r>
      <w:r>
        <w:rPr>
          <w:rFonts w:hint="eastAsia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印发给你们，请结合本地实际，认真贯彻执行，确保取得实效。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联系人：张传贵，刘伟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电  话：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0531-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5178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54,51788355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00" w:lineRule="exact"/>
        <w:ind w:left="0" w:leftChars="0" w:right="0" w:rightChars="0" w:firstLine="640" w:firstLineChars="200"/>
        <w:jc w:val="both"/>
        <w:textAlignment w:val="auto"/>
        <w:rPr>
          <w:rFonts w:hint="eastAsia" w:hAnsi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邮  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liuweirst@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shandong.cn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textAlignment w:val="auto"/>
        <w:rPr>
          <w:rFonts w:hint="eastAsia"/>
          <w:color w:val="auto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textAlignment w:val="auto"/>
        <w:rPr>
          <w:rFonts w:hint="eastAsia"/>
          <w:color w:val="auto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topLinePunct w:val="0"/>
        <w:bidi w:val="0"/>
        <w:spacing w:line="500" w:lineRule="exact"/>
        <w:ind w:left="0" w:leftChars="0" w:right="0" w:rightChars="0" w:firstLine="0" w:firstLineChars="0"/>
        <w:textAlignment w:val="auto"/>
        <w:rPr>
          <w:rFonts w:hint="eastAsia" w:hAnsi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   山东省人力资源和社会保障厅</w:t>
      </w:r>
    </w:p>
    <w:p>
      <w:pPr>
        <w:pStyle w:val="10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hAnsi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2024年4月24日        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outlineLvl w:val="9"/>
        <w:rPr>
          <w:rFonts w:hint="eastAsia" w:hAnsi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outlineLvl w:val="9"/>
        <w:rPr>
          <w:rFonts w:hint="eastAsia" w:hAnsi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（此件主动公开）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outlineLvl w:val="9"/>
        <w:rPr>
          <w:rFonts w:hint="eastAsia"/>
          <w:color w:val="auto"/>
          <w:lang w:val="en-US" w:eastAsia="zh-CN"/>
        </w:rPr>
      </w:pPr>
      <w:r>
        <w:rPr>
          <w:rFonts w:hint="eastAsia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（联系单位：省公共就业和人才服务中心就业服务处）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textAlignment w:val="auto"/>
        <w:rPr>
          <w:rFonts w:hint="eastAsia" w:hAnsi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sectPr>
          <w:headerReference r:id="rId3" w:type="default"/>
          <w:pgSz w:w="11906" w:h="16838"/>
          <w:pgMar w:top="2098" w:right="1531" w:bottom="1814" w:left="1531" w:header="851" w:footer="1587" w:gutter="0"/>
          <w:pgNumType w:fmt="decimal"/>
          <w:cols w:space="0" w:num="1"/>
          <w:rtlGutter w:val="0"/>
          <w:docGrid w:type="linesAndChars" w:linePitch="587" w:charSpace="-849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80" w:lineRule="exact"/>
        <w:ind w:left="0" w:leftChars="0" w:right="0" w:rightChars="0"/>
        <w:jc w:val="both"/>
        <w:textAlignment w:val="auto"/>
        <w:rPr>
          <w:rFonts w:hint="eastAsia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2024年山东省重大项目重点企业用工服务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保障“助企护航”行动实施方案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为深入贯彻落实全省高水平开放暨高质量招商引资大会精神，充分发挥人力资源社会保障部门职能优势，服务重大项目、重点企业，现就开展重大项目、重点企业用工服务保障“助企护航”行动，制定以下实施方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总体要求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以习近平新时代中国特色社会主义思想为指导，聚焦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2024年省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市县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重大项目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重点企业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深入开展以“八个一批”为主要内容的“助企护航”行动，坚持有求必应、无需不扰，健全企业缺工快速响应、精准匹配机制，提升全域用工服务保障能力，切实满足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重大项目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重点企业用工需求，破解“招工难”“就业难”结构性矛盾，助力高水平开放、高质量招商引资，促进经济发展与扩大就业良性互动。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二、服务对象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省市县确定的2024年重大项目，各地招商引资重点项目、重点企业。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8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三、活动主题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多方聚力保用工，助企护航促发展。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四、重点举措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（一）用工服务专员专业化保障一批。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充分发挥企业用工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专员作用，</w:t>
      </w:r>
      <w:r>
        <w:rPr>
          <w:rFonts w:hint="eastAsia" w:eastAsia="仿宋_GB2312" w:cs="黑体"/>
          <w:color w:val="auto"/>
          <w:sz w:val="32"/>
          <w:szCs w:val="32"/>
          <w:lang w:val="en-US" w:eastAsia="zh-CN"/>
        </w:rPr>
        <w:t>落实“一对一”联系服务制度，主动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对接发展改革、工信、商务等部门，汇总建立本地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重大项目、重点企业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清单，定期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开展重大项目、重点企业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用工需求调查。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每周联系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不少于1次，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每月深入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项目（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）现场不少于1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，及时</w:t>
      </w:r>
      <w:r>
        <w:rPr>
          <w:rFonts w:hint="eastAsia" w:eastAsia="仿宋_GB2312" w:cs="黑体"/>
          <w:color w:val="auto"/>
          <w:sz w:val="32"/>
          <w:szCs w:val="32"/>
          <w:lang w:val="en-US" w:eastAsia="zh-CN"/>
        </w:rPr>
        <w:t>精准掌握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企业用工需求，落实用工优先保障机制，</w:t>
      </w:r>
      <w:r>
        <w:rPr>
          <w:rFonts w:hint="eastAsia" w:eastAsia="仿宋_GB2312" w:cs="黑体"/>
          <w:color w:val="auto"/>
          <w:sz w:val="32"/>
          <w:szCs w:val="32"/>
          <w:lang w:val="en-US" w:eastAsia="zh-CN"/>
        </w:rPr>
        <w:t>提供专业化用工服务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对规模性缺工问题，组建用工服务专班“一企一策”解决。探索建立企业缺工提级办理机制，对本级难以解决的缺工问题，报请上级人力资源社会保障部门提级解决。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（二）公共就业服务活动多元化解决一批。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发挥公共就业服务活动主渠道作用，轮动举办“春风行动”“民营企业服务月”“百日千万招聘专项行动”“金秋招聘月”“就选山东”高校毕业生校园招聘等公共就业服务专项活动，创新开展“职通央企”“百校千企人才对接大会”，主动对接缺工企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设置重大项目、重点企业招聘专区，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加密线上、线下招聘频次，促进精准对接、精准匹配。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做强零工市场，支持零工市场与重大项目、重点企业建立长期合作关系，提供临时性、季节性用工支持。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（三）跨区域劳务协作常态化引进一批。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发挥省会经济圈、胶东经济圈、鲁南经济圈人力资源共享联盟作用，轮值举办重大项目、重点企业专项招聘活动，搭建省内跨区域招聘对接平台，促进人力资源优势互补、合作共赢。深化东西部和沿黄九省区劳务协作，加强招聘求职信息互通共享，布局建设一批省外招工站点、劳务基地，组织缺工的重大项目、重点企业参加</w:t>
      </w:r>
      <w:r>
        <w:rPr>
          <w:rFonts w:hint="eastAsia" w:ascii="仿宋_GB2312" w:hAnsi="仿宋" w:eastAsia="仿宋_GB2312" w:cs="仿宋_GB2312"/>
          <w:b w:val="0"/>
          <w:bCs w:val="0"/>
          <w:color w:val="auto"/>
          <w:sz w:val="32"/>
        </w:rPr>
        <w:t>就业鲁渝行、鲁甘人力协作等</w:t>
      </w:r>
      <w:r>
        <w:rPr>
          <w:rFonts w:hint="eastAsia" w:ascii="仿宋_GB2312" w:hAnsi="仿宋" w:eastAsia="仿宋_GB2312" w:cs="仿宋_GB2312"/>
          <w:b w:val="0"/>
          <w:bCs w:val="0"/>
          <w:color w:val="auto"/>
          <w:sz w:val="32"/>
          <w:lang w:val="en-US" w:eastAsia="zh-CN"/>
        </w:rPr>
        <w:t>劳务对接</w:t>
      </w:r>
      <w:r>
        <w:rPr>
          <w:rFonts w:hint="eastAsia" w:ascii="仿宋_GB2312" w:hAnsi="仿宋" w:eastAsia="仿宋_GB2312" w:cs="仿宋_GB2312"/>
          <w:b w:val="0"/>
          <w:bCs w:val="0"/>
          <w:color w:val="auto"/>
          <w:sz w:val="32"/>
        </w:rPr>
        <w:t>活动，通过专列、</w:t>
      </w:r>
      <w:r>
        <w:rPr>
          <w:rFonts w:hint="eastAsia" w:ascii="仿宋_GB2312" w:hAnsi="仿宋" w:eastAsia="仿宋_GB2312" w:cs="仿宋_GB2312"/>
          <w:b w:val="0"/>
          <w:bCs w:val="0"/>
          <w:color w:val="auto"/>
          <w:sz w:val="32"/>
          <w:lang w:val="en-US" w:eastAsia="zh-CN"/>
        </w:rPr>
        <w:t>包机、包车等形式，</w:t>
      </w:r>
      <w:r>
        <w:rPr>
          <w:rFonts w:hint="eastAsia" w:ascii="仿宋_GB2312" w:hAnsi="仿宋" w:eastAsia="仿宋_GB2312" w:cs="仿宋_GB2312"/>
          <w:b w:val="0"/>
          <w:bCs w:val="0"/>
          <w:color w:val="auto"/>
          <w:sz w:val="32"/>
        </w:rPr>
        <w:t>扩大有组织劳务输入</w:t>
      </w:r>
      <w:r>
        <w:rPr>
          <w:rFonts w:hint="eastAsia" w:ascii="仿宋_GB2312" w:hAnsi="仿宋" w:eastAsia="仿宋_GB2312" w:cs="仿宋_GB2312"/>
          <w:b w:val="0"/>
          <w:bCs w:val="0"/>
          <w:color w:val="auto"/>
          <w:sz w:val="32"/>
          <w:lang w:val="en-US" w:eastAsia="zh-CN"/>
        </w:rPr>
        <w:t>规模</w:t>
      </w:r>
      <w:r>
        <w:rPr>
          <w:rFonts w:hint="eastAsia" w:ascii="仿宋_GB2312" w:hAnsi="仿宋" w:eastAsia="仿宋_GB2312" w:cs="仿宋_GB2312"/>
          <w:b w:val="0"/>
          <w:bCs w:val="0"/>
          <w:color w:val="auto"/>
          <w:sz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促进跨区域人力资源合作，贯通重大项目、重点企业与中西部和沿黄省区劳务协作渠道，满足企业用工需求。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（四）人力资源服务机构市场化匹配一批。</w:t>
      </w:r>
      <w:r>
        <w:rPr>
          <w:rFonts w:hint="eastAsia" w:ascii="仿宋_GB2312" w:eastAsia="仿宋_GB2312"/>
          <w:color w:val="auto"/>
          <w:sz w:val="32"/>
          <w:szCs w:val="32"/>
        </w:rPr>
        <w:t>充分发挥人力资源服务业促就业作用，支持经营性人力资源服务机构主动对接重大项目、重点企业，贴近一线需求提供用工招聘、劳务派遣、人力资源服务外包等市场化服务。开展“百企联百校 指引向未来”山东省优质人力资源服务机构进校园活动，组织优质人力资源服务机构深入驻地高校，为重大项目、重点企业人才需求与高校毕业生求职就业，提供精准化、专业化对接服务。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（五）直通名校便捷化招引一批。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梳理汇总重大项目、重点企业对高层次人才和青年人才需求，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组织参与“山东—名校人才直通车”“海聚山东”“百校千企”人才对接，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立足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省内外对口知名高校，积极“走出去”“引进来”，推介人才政策、优质岗位，大力引进海内外优秀青年人才。开展名校师生“山东城市行”“知名高校优秀大学生齐鲁研修营”、书记校长“访企拓岗”等活动，组织高校毕业生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重大项目、重点企业开展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沉浸式职业体验，畅通青年人才感知项目、智汇企业渠道，帮助招揽更多优秀青年人才。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（六）校企合作订单化输送一批。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深化校企合作、产教融合，支持技工院校与重点企业组建产教融合共同体，聚焦缺工专业，开设“订单班”，推广工学一体人才培养模式。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发挥重大项目、重点企业培养主体作用，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建设技工院校教学实习实训基地，通过“学徒制”实现产学互补，提升供需匹配。组织进入实习阶段的学生到企业顶岗实习，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开展职业体验，增强岗位认同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健全技能人才培养、使用、评价、激励制度，推进重点企业技能人才自主评价提质扩面。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支持头部企业、“产业链”链主企业开办技工学校。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（七）聚焦急需紧缺工种精准化培养一批。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依托人社服务专员等工作力量，通过专场招聘活动、急需紧缺职业工种调查、访企拓岗、人力资源服务对接等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，广泛征集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重大项目、重点企业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急需紧缺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工种，建立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需求清单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符合条件的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纳入补贴性职业技能培训项目目录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引导缺工的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重大项目、重点企业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对接技工院校、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优质培训机构，合作开展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急需紧缺工种培养。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强化企业用人主体责任，充分利用职工教育经费建立培训中心、实训基地等，开展急需紧缺工种培训。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（八）加强用工指导服务规范化吸引一批。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加强重大项目、重点企业用工指导，督促指导企业依法保障职工劳动报酬、社会保险、福利待遇等合法权益，建立工资正常增长机制。推动企业改善劳动和生活环境，畅通职业发展通道，构建和谐劳动关系，提升用工形象，用优厚待遇吸引员工、用良好环境留住员工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试点开展大学生就业创业赋能中心建设，为在校大学生提供一站式、专业化就业创业集成服务，强化生涯教育和就业指导，引导大学生树立正确的就业观、择业观，畅通重大项目、重点企业吸纳大学生就业渠道。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 xml:space="preserve">    五、工作要求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（一）加强组织领导。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各级人力资源社会保障部门要充分认识重大项目、重点企业用工服务保障对稳就业、促增长的重大意义，树牢全省“一盘棋”思想，把加强企业用工服务保障摆到突出位置,切实加强跨部门跨领域对接协同，积极争取有关部门、群团组织、社会机构的支持，形成工作合力，及时落实重点任务、解决重点问题，确保工作质效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（二）优化营商环境。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优化人力资源社会保障领域涉企政策服务，深入实施营商环境创新行动计划，健全政企常态化沟通机制，帮助指导重大项目、重点企业提高人力资源规范化管理水平，提升企业招工用工竞争力和吸引力。推动数字赋能，运用大数据、云计算、人工智能等手段，搭建各类用工服务平台，提升服务质效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推行政策找人、免申即享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等举措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进一步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提高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社保降费、稳岗返还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、技能提升补贴等政策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知晓度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和惠及率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，用真金白银政策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精准服务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重大项目、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重点企业。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强化督导推动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省里将定期开展工作督导和调度，将服务重大项目重点企业数量、解决用工人数、降低缺工率、指导服务企业等情况纳入就业绩效评价指标体系，遴选表扬一批优秀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用工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专员。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各市要结合实际，细化时间表、路线图、责任链，推动问题清单化、举措精准化、工作台账化，确保行动扎实有效。主动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联系当地宣传媒体，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加大亮点经验、工作成效、典型人物宣传推广力度，密切关注舆情，对发现的问题及时回应、解决，营造良好社会氛围。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附件：重大项目重点企业用工服务保障情况调度表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5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sectPr>
          <w:footerReference r:id="rId4" w:type="default"/>
          <w:pgSz w:w="11906" w:h="16838"/>
          <w:pgMar w:top="2098" w:right="1531" w:bottom="1814" w:left="1531" w:header="851" w:footer="1587" w:gutter="0"/>
          <w:pgNumType w:fmt="decimal" w:start="2"/>
          <w:cols w:space="0" w:num="1"/>
          <w:rtlGutter w:val="0"/>
          <w:docGrid w:type="linesAndChars" w:linePitch="587" w:charSpace="-849"/>
        </w:sect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both"/>
        <w:textAlignment w:val="auto"/>
        <w:outlineLvl w:val="9"/>
        <w:rPr>
          <w:rFonts w:hint="eastAsia" w:hAnsi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重大项目重点企业用工服务保障情况调度表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hAnsi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hAnsi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市：                                                   时间：</w:t>
      </w:r>
    </w:p>
    <w:tbl>
      <w:tblPr>
        <w:tblStyle w:val="14"/>
        <w:tblW w:w="129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3378"/>
        <w:gridCol w:w="1152"/>
        <w:gridCol w:w="1500"/>
        <w:gridCol w:w="864"/>
        <w:gridCol w:w="864"/>
        <w:gridCol w:w="1104"/>
        <w:gridCol w:w="1056"/>
        <w:gridCol w:w="832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1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37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企业（项目）名称</w:t>
            </w:r>
          </w:p>
        </w:tc>
        <w:tc>
          <w:tcPr>
            <w:tcW w:w="115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5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86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员工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规模</w:t>
            </w:r>
          </w:p>
        </w:tc>
        <w:tc>
          <w:tcPr>
            <w:tcW w:w="86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缺工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人数</w:t>
            </w:r>
          </w:p>
        </w:tc>
        <w:tc>
          <w:tcPr>
            <w:tcW w:w="110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服务解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决人数</w:t>
            </w:r>
          </w:p>
        </w:tc>
        <w:tc>
          <w:tcPr>
            <w:tcW w:w="105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服务后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缺工率</w:t>
            </w:r>
          </w:p>
        </w:tc>
        <w:tc>
          <w:tcPr>
            <w:tcW w:w="83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hAnsi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服务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专员</w:t>
            </w:r>
          </w:p>
        </w:tc>
        <w:tc>
          <w:tcPr>
            <w:tcW w:w="141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服务措施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1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7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1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7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1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7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1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7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560" w:firstLineChars="200"/>
        <w:jc w:val="left"/>
        <w:textAlignment w:val="auto"/>
        <w:outlineLvl w:val="9"/>
        <w:rPr>
          <w:rFonts w:hint="eastAsia" w:hAnsi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  <w:t>备注：此表由市级人力资源社会保障部门汇总</w:t>
      </w:r>
      <w:r>
        <w:rPr>
          <w:rFonts w:hint="eastAsia" w:hAnsi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  <w:t>报送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  <w:t>，分别于2024年6月</w:t>
      </w:r>
      <w:r>
        <w:rPr>
          <w:rFonts w:hint="eastAsia" w:hAnsi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  <w:t>日、</w:t>
      </w:r>
      <w:r>
        <w:rPr>
          <w:rFonts w:hint="eastAsia" w:hAnsi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  <w:t>9月15日、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  <w:t>12月</w:t>
      </w:r>
      <w:r>
        <w:rPr>
          <w:rFonts w:hint="eastAsia" w:hAnsi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  <w:t>日</w:t>
      </w:r>
      <w:r>
        <w:rPr>
          <w:rFonts w:hint="eastAsia" w:hAnsi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  <w:t>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  <w:t>报送</w:t>
      </w:r>
      <w:r>
        <w:rPr>
          <w:rFonts w:hint="eastAsia" w:hAnsi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  <w:t>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  <w:t>指定邮箱</w:t>
      </w:r>
      <w:r>
        <w:rPr>
          <w:rFonts w:hint="eastAsia" w:hAnsi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  <w:t>（每次报送累计数据）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  <w:t>。</w:t>
      </w:r>
      <w:r>
        <w:rPr>
          <w:rFonts w:hint="eastAsia" w:hAnsi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  <w:t>服务后缺工率计算公式：服务后缺工人数/员工规模。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560" w:firstLineChars="200"/>
        <w:jc w:val="left"/>
        <w:textAlignment w:val="auto"/>
        <w:outlineLvl w:val="9"/>
        <w:rPr>
          <w:rFonts w:hint="eastAsia" w:hAnsi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  <w:sectPr>
          <w:pgSz w:w="16838" w:h="11906" w:orient="landscape"/>
          <w:pgMar w:top="1531" w:right="2154" w:bottom="1531" w:left="1928" w:header="851" w:footer="992" w:gutter="0"/>
          <w:pgNumType w:fmt="decimal"/>
          <w:cols w:space="0" w:num="1"/>
          <w:rtlGutter w:val="0"/>
          <w:docGrid w:type="lines" w:linePitch="315" w:charSpace="0"/>
        </w:sect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default" w:hAnsi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default" w:hAnsi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default" w:hAnsi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default" w:hAnsi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default" w:hAnsi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default" w:hAnsi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default" w:hAnsi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default" w:hAnsi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default" w:hAnsi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default" w:hAnsi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default" w:hAnsi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default" w:hAnsi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default" w:hAnsi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default" w:hAnsi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default" w:hAnsi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default" w:hAnsi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default" w:hAnsi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default" w:hAnsi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/>
        <w:textAlignment w:val="auto"/>
        <w:rPr>
          <w:color w:val="auto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/>
        <w:textAlignment w:val="auto"/>
        <w:rPr>
          <w:color w:va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4pt;height:0pt;width:442.2pt;z-index:251666432;mso-width-relative:page;mso-height-relative:page;" filled="f" stroked="t" coordsize="21600,21600" o:gfxdata="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EqOgM7SAAAAAgEAAA8AAAAAAAAAAQAgAAAA&#10;IgAAAGRycy9kb3ducmV2LnhtbFBLAQIUABQAAAAIAIdO4kDkzOSm2AEAAJkDAAAOAAAAAAAAAAEA&#10;IAAAACEBAABkcnMvZTJvRG9jLnhtbFBLBQYAAAAABgAGAFkBAABr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山东省人力资源和社会保障厅办公室         2024年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日印发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hAnsi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364490</wp:posOffset>
                </wp:positionV>
                <wp:extent cx="5615940" cy="0"/>
                <wp:effectExtent l="0" t="0" r="0" b="0"/>
                <wp:wrapNone/>
                <wp:docPr id="5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margin-left:0pt;margin-top:28.7pt;height:0pt;width:442.2pt;z-index:251667456;mso-width-relative:page;mso-height-relative:page;" filled="f" stroked="t" coordsize="21600,21600" o:gfxdata="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3PNPmdUAAAAGAQAADwAAAAAAAAABACAA&#10;AAAiAAAAZHJzL2Rvd25yZXYueG1sUEsBAhQAFAAAAAgAh07iQMcRcdjXAQAAmQMAAA4AAAAAAAAA&#10;AQAgAAAAJAEAAGRycy9lMm9Eb2MueG1sUEsFBgAAAAAGAAYAWQEAAG0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5615940" cy="0"/>
                <wp:effectExtent l="0" t="0" r="0" b="0"/>
                <wp:wrapNone/>
                <wp:docPr id="6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0pt;margin-top:0.2pt;height:0pt;width:442.2pt;z-index:251665408;mso-width-relative:page;mso-height-relative:page;" filled="f" stroked="t" coordsize="21600,21600" o:gfxdata="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7u9eo0AAAAAIBAAAPAAAAAAAAAAEAIAAAACIAAABk&#10;cnMvZG93bnJldi54bWxQSwECFAAUAAAACACHTuJAw5U8M9UBAACYAwAADgAAAAAAAAABACAAAAAf&#10;AQAAZHJzL2Uyb0RvYy54bWxQSwUGAAAAAAYABgBZAQAAZg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校核人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:</w:t>
      </w:r>
      <w:r>
        <w:rPr>
          <w:rFonts w:hint="eastAsia" w:hAnsi="仿宋_GB2312" w:cs="仿宋_GB2312"/>
          <w:color w:val="auto"/>
          <w:sz w:val="28"/>
          <w:szCs w:val="28"/>
          <w:lang w:val="en-US" w:eastAsia="zh-CN"/>
        </w:rPr>
        <w:t>刘伟</w:t>
      </w:r>
    </w:p>
    <w:bookmarkEnd w:id="0"/>
    <w:sectPr>
      <w:pgSz w:w="11906" w:h="16838"/>
      <w:pgMar w:top="2098" w:right="1531" w:bottom="1814" w:left="1531" w:header="851" w:footer="992" w:gutter="0"/>
      <w:pgNumType w:fmt="decimal"/>
      <w:cols w:space="0" w:num="1"/>
      <w:rtlGutter w:val="0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287" w:usb1="00000000" w:usb2="00000000" w:usb3="00000000" w:csb0="4000009F" w:csb1="DFD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287" w:usb1="00000000" w:usb2="00000000" w:usb3="00000000" w:csb0="4000009F" w:csb1="DFD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287" w:usb1="00000000" w:usb2="00000000" w:usb3="00000000" w:csb0="4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\5FAE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7EC30E"/>
    <w:multiLevelType w:val="singleLevel"/>
    <w:tmpl w:val="FF7EC30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4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6CE8"/>
    <w:rsid w:val="00DC0218"/>
    <w:rsid w:val="00ED47A2"/>
    <w:rsid w:val="013B6393"/>
    <w:rsid w:val="015477FB"/>
    <w:rsid w:val="01973D74"/>
    <w:rsid w:val="01CE2579"/>
    <w:rsid w:val="02006446"/>
    <w:rsid w:val="024F5867"/>
    <w:rsid w:val="028B6E73"/>
    <w:rsid w:val="028D4E28"/>
    <w:rsid w:val="02C8723A"/>
    <w:rsid w:val="03107BE7"/>
    <w:rsid w:val="03315BA9"/>
    <w:rsid w:val="039D3F96"/>
    <w:rsid w:val="03D67670"/>
    <w:rsid w:val="03EB667F"/>
    <w:rsid w:val="04546969"/>
    <w:rsid w:val="04712D6A"/>
    <w:rsid w:val="04825D2B"/>
    <w:rsid w:val="04E469B1"/>
    <w:rsid w:val="05254088"/>
    <w:rsid w:val="053E494D"/>
    <w:rsid w:val="053F3E7D"/>
    <w:rsid w:val="05C51924"/>
    <w:rsid w:val="05EF3C65"/>
    <w:rsid w:val="076078EA"/>
    <w:rsid w:val="07966787"/>
    <w:rsid w:val="07C30854"/>
    <w:rsid w:val="07C452C3"/>
    <w:rsid w:val="085F46D1"/>
    <w:rsid w:val="088F774F"/>
    <w:rsid w:val="0AB76CC8"/>
    <w:rsid w:val="0B8E13C4"/>
    <w:rsid w:val="0C9D2454"/>
    <w:rsid w:val="0D0D2CE7"/>
    <w:rsid w:val="0DE50D1F"/>
    <w:rsid w:val="0E08043C"/>
    <w:rsid w:val="0E3C2A03"/>
    <w:rsid w:val="0E44557F"/>
    <w:rsid w:val="0E637809"/>
    <w:rsid w:val="0EDA3127"/>
    <w:rsid w:val="0EF31E01"/>
    <w:rsid w:val="0F5C08A7"/>
    <w:rsid w:val="0FC32A22"/>
    <w:rsid w:val="10844C60"/>
    <w:rsid w:val="111B2312"/>
    <w:rsid w:val="11AF6FEB"/>
    <w:rsid w:val="11CC5CE4"/>
    <w:rsid w:val="128B611D"/>
    <w:rsid w:val="12A928EB"/>
    <w:rsid w:val="12E517D5"/>
    <w:rsid w:val="13B326FC"/>
    <w:rsid w:val="14122346"/>
    <w:rsid w:val="141C129D"/>
    <w:rsid w:val="14605CA2"/>
    <w:rsid w:val="14DC4090"/>
    <w:rsid w:val="15D00185"/>
    <w:rsid w:val="16F45E76"/>
    <w:rsid w:val="17122281"/>
    <w:rsid w:val="17885437"/>
    <w:rsid w:val="181B6B61"/>
    <w:rsid w:val="18262BAB"/>
    <w:rsid w:val="18772EA7"/>
    <w:rsid w:val="190F39EA"/>
    <w:rsid w:val="1A1E5E23"/>
    <w:rsid w:val="1AAC4519"/>
    <w:rsid w:val="1AFEFB28"/>
    <w:rsid w:val="1B1D7C58"/>
    <w:rsid w:val="1B5F5310"/>
    <w:rsid w:val="1BAB083E"/>
    <w:rsid w:val="1BDD378C"/>
    <w:rsid w:val="1CC748BA"/>
    <w:rsid w:val="1D3F120C"/>
    <w:rsid w:val="1E691E71"/>
    <w:rsid w:val="1E8C1972"/>
    <w:rsid w:val="1ED84129"/>
    <w:rsid w:val="1F231ECE"/>
    <w:rsid w:val="1F9E7387"/>
    <w:rsid w:val="1FAF0677"/>
    <w:rsid w:val="1FF72464"/>
    <w:rsid w:val="209C25CD"/>
    <w:rsid w:val="20A16FC6"/>
    <w:rsid w:val="21817331"/>
    <w:rsid w:val="219A6B88"/>
    <w:rsid w:val="21AD3261"/>
    <w:rsid w:val="21C055EC"/>
    <w:rsid w:val="22194E4C"/>
    <w:rsid w:val="225D0D27"/>
    <w:rsid w:val="233F167A"/>
    <w:rsid w:val="237205E4"/>
    <w:rsid w:val="239141F8"/>
    <w:rsid w:val="2430410D"/>
    <w:rsid w:val="245635B5"/>
    <w:rsid w:val="24E91259"/>
    <w:rsid w:val="25493E64"/>
    <w:rsid w:val="25B3427D"/>
    <w:rsid w:val="25C11036"/>
    <w:rsid w:val="26EA1510"/>
    <w:rsid w:val="26EE7E4B"/>
    <w:rsid w:val="26F76D6A"/>
    <w:rsid w:val="27424C2E"/>
    <w:rsid w:val="27930F91"/>
    <w:rsid w:val="27B21214"/>
    <w:rsid w:val="27CC1D4B"/>
    <w:rsid w:val="282B559F"/>
    <w:rsid w:val="283A33D0"/>
    <w:rsid w:val="2A602744"/>
    <w:rsid w:val="2A7A39B6"/>
    <w:rsid w:val="2A9269F5"/>
    <w:rsid w:val="2A997AF7"/>
    <w:rsid w:val="2A9D6402"/>
    <w:rsid w:val="2ACE12EE"/>
    <w:rsid w:val="2AFC2CC0"/>
    <w:rsid w:val="2B7E2022"/>
    <w:rsid w:val="2B9D1BEA"/>
    <w:rsid w:val="2CAC0E36"/>
    <w:rsid w:val="2D2A2B45"/>
    <w:rsid w:val="2ED22A44"/>
    <w:rsid w:val="2F0F99B7"/>
    <w:rsid w:val="2FC34D06"/>
    <w:rsid w:val="305A07E0"/>
    <w:rsid w:val="305F5D66"/>
    <w:rsid w:val="30937F82"/>
    <w:rsid w:val="3186778F"/>
    <w:rsid w:val="31D02B7F"/>
    <w:rsid w:val="33C53B08"/>
    <w:rsid w:val="33D743B3"/>
    <w:rsid w:val="33F36CAF"/>
    <w:rsid w:val="34AF0D7F"/>
    <w:rsid w:val="35B72493"/>
    <w:rsid w:val="35FC072F"/>
    <w:rsid w:val="36AB0B21"/>
    <w:rsid w:val="36CC4496"/>
    <w:rsid w:val="36D256E4"/>
    <w:rsid w:val="36E524F3"/>
    <w:rsid w:val="36F677B4"/>
    <w:rsid w:val="373639E2"/>
    <w:rsid w:val="37B76B8F"/>
    <w:rsid w:val="37D75383"/>
    <w:rsid w:val="37DEFD8B"/>
    <w:rsid w:val="37E62EA7"/>
    <w:rsid w:val="39996BB4"/>
    <w:rsid w:val="39BBA509"/>
    <w:rsid w:val="3A496691"/>
    <w:rsid w:val="3A9E6AF2"/>
    <w:rsid w:val="3AEF54C4"/>
    <w:rsid w:val="3B483E48"/>
    <w:rsid w:val="3B6B664F"/>
    <w:rsid w:val="3B778480"/>
    <w:rsid w:val="3BBB8DB0"/>
    <w:rsid w:val="3BD51960"/>
    <w:rsid w:val="3C6E4E65"/>
    <w:rsid w:val="3CF46D9C"/>
    <w:rsid w:val="3D672206"/>
    <w:rsid w:val="3D682ECA"/>
    <w:rsid w:val="3D777A73"/>
    <w:rsid w:val="3D894081"/>
    <w:rsid w:val="3DA46496"/>
    <w:rsid w:val="3DBF2539"/>
    <w:rsid w:val="3DDF85BC"/>
    <w:rsid w:val="3F17157F"/>
    <w:rsid w:val="3F687D2B"/>
    <w:rsid w:val="3FCDD600"/>
    <w:rsid w:val="3FDB6AF4"/>
    <w:rsid w:val="3FDC7518"/>
    <w:rsid w:val="3FEF298E"/>
    <w:rsid w:val="41296756"/>
    <w:rsid w:val="41EF61DB"/>
    <w:rsid w:val="42215A6A"/>
    <w:rsid w:val="426D7E6D"/>
    <w:rsid w:val="44BE2106"/>
    <w:rsid w:val="44CC3778"/>
    <w:rsid w:val="44D81406"/>
    <w:rsid w:val="451E2239"/>
    <w:rsid w:val="452C1402"/>
    <w:rsid w:val="45B81F76"/>
    <w:rsid w:val="45C231C5"/>
    <w:rsid w:val="45C73554"/>
    <w:rsid w:val="4646000C"/>
    <w:rsid w:val="46E23F7C"/>
    <w:rsid w:val="47512EA9"/>
    <w:rsid w:val="47EC7DBD"/>
    <w:rsid w:val="48A90839"/>
    <w:rsid w:val="48C42871"/>
    <w:rsid w:val="48D82589"/>
    <w:rsid w:val="492D3B3E"/>
    <w:rsid w:val="494E7A51"/>
    <w:rsid w:val="49B606B1"/>
    <w:rsid w:val="49ED45AE"/>
    <w:rsid w:val="49ED5C95"/>
    <w:rsid w:val="49FE0BC3"/>
    <w:rsid w:val="4A736B6B"/>
    <w:rsid w:val="4ADD785B"/>
    <w:rsid w:val="4D165B7F"/>
    <w:rsid w:val="4D1D6675"/>
    <w:rsid w:val="4D781783"/>
    <w:rsid w:val="4DB06CEB"/>
    <w:rsid w:val="4E433D85"/>
    <w:rsid w:val="4EDF19C4"/>
    <w:rsid w:val="4F431A6A"/>
    <w:rsid w:val="4F6B05CB"/>
    <w:rsid w:val="4FB13624"/>
    <w:rsid w:val="4FB70812"/>
    <w:rsid w:val="4FBB9B59"/>
    <w:rsid w:val="4FECDED0"/>
    <w:rsid w:val="4FEF61A7"/>
    <w:rsid w:val="4FFFC381"/>
    <w:rsid w:val="507D1029"/>
    <w:rsid w:val="50E3402E"/>
    <w:rsid w:val="50EF4238"/>
    <w:rsid w:val="51890144"/>
    <w:rsid w:val="51E64422"/>
    <w:rsid w:val="51F16263"/>
    <w:rsid w:val="526B4CB7"/>
    <w:rsid w:val="53034DE6"/>
    <w:rsid w:val="532F2B50"/>
    <w:rsid w:val="536106AD"/>
    <w:rsid w:val="542D46D4"/>
    <w:rsid w:val="54A206C6"/>
    <w:rsid w:val="54FB3CB0"/>
    <w:rsid w:val="55DF0593"/>
    <w:rsid w:val="562039A4"/>
    <w:rsid w:val="568B1CEB"/>
    <w:rsid w:val="56EF42A2"/>
    <w:rsid w:val="578F13AB"/>
    <w:rsid w:val="579F4188"/>
    <w:rsid w:val="57CB122D"/>
    <w:rsid w:val="57D32F95"/>
    <w:rsid w:val="57FFEB20"/>
    <w:rsid w:val="58596E6A"/>
    <w:rsid w:val="58CD4E8A"/>
    <w:rsid w:val="5A070733"/>
    <w:rsid w:val="5A0F71AC"/>
    <w:rsid w:val="5A202723"/>
    <w:rsid w:val="5A685216"/>
    <w:rsid w:val="5B110297"/>
    <w:rsid w:val="5B4C2AAD"/>
    <w:rsid w:val="5B760A53"/>
    <w:rsid w:val="5C3B3E72"/>
    <w:rsid w:val="5C6D5452"/>
    <w:rsid w:val="5D165B83"/>
    <w:rsid w:val="5D270D0D"/>
    <w:rsid w:val="5D45266C"/>
    <w:rsid w:val="5E0FADF2"/>
    <w:rsid w:val="5E405087"/>
    <w:rsid w:val="5E582086"/>
    <w:rsid w:val="5E782333"/>
    <w:rsid w:val="5EE22F96"/>
    <w:rsid w:val="5EEE554B"/>
    <w:rsid w:val="5F103031"/>
    <w:rsid w:val="5F39758A"/>
    <w:rsid w:val="5F467491"/>
    <w:rsid w:val="5F567DD9"/>
    <w:rsid w:val="5FEC3BCF"/>
    <w:rsid w:val="5FEF9C4B"/>
    <w:rsid w:val="600B2646"/>
    <w:rsid w:val="603F1213"/>
    <w:rsid w:val="6064672F"/>
    <w:rsid w:val="60BC31ED"/>
    <w:rsid w:val="60CE468F"/>
    <w:rsid w:val="60E840E3"/>
    <w:rsid w:val="61C1442A"/>
    <w:rsid w:val="62563C62"/>
    <w:rsid w:val="629E5016"/>
    <w:rsid w:val="63106A2F"/>
    <w:rsid w:val="63516991"/>
    <w:rsid w:val="63D034C5"/>
    <w:rsid w:val="63DB480A"/>
    <w:rsid w:val="645C590F"/>
    <w:rsid w:val="64704DB3"/>
    <w:rsid w:val="65F203DF"/>
    <w:rsid w:val="66127F13"/>
    <w:rsid w:val="66CC47BA"/>
    <w:rsid w:val="66CFEDB7"/>
    <w:rsid w:val="66FB20CE"/>
    <w:rsid w:val="67266D8B"/>
    <w:rsid w:val="67D22593"/>
    <w:rsid w:val="67D63078"/>
    <w:rsid w:val="68A577DA"/>
    <w:rsid w:val="691B5218"/>
    <w:rsid w:val="6A2B588B"/>
    <w:rsid w:val="6A417A1B"/>
    <w:rsid w:val="6A91371F"/>
    <w:rsid w:val="6B2A78EC"/>
    <w:rsid w:val="6B590181"/>
    <w:rsid w:val="6B5E3739"/>
    <w:rsid w:val="6B7B282A"/>
    <w:rsid w:val="6B99275E"/>
    <w:rsid w:val="6BA77F91"/>
    <w:rsid w:val="6C5F1123"/>
    <w:rsid w:val="6C9022A9"/>
    <w:rsid w:val="6C9222F9"/>
    <w:rsid w:val="6CC56A6C"/>
    <w:rsid w:val="6CD25D3E"/>
    <w:rsid w:val="6D046A90"/>
    <w:rsid w:val="6D2F9938"/>
    <w:rsid w:val="6E33046D"/>
    <w:rsid w:val="6E671D02"/>
    <w:rsid w:val="6EF436F3"/>
    <w:rsid w:val="6F0404D0"/>
    <w:rsid w:val="6F21551D"/>
    <w:rsid w:val="6FF5F340"/>
    <w:rsid w:val="6FFF26EF"/>
    <w:rsid w:val="707D0971"/>
    <w:rsid w:val="70A65910"/>
    <w:rsid w:val="70BF61E8"/>
    <w:rsid w:val="71C26895"/>
    <w:rsid w:val="71EF28C1"/>
    <w:rsid w:val="7252301B"/>
    <w:rsid w:val="72595FCD"/>
    <w:rsid w:val="72BB4F65"/>
    <w:rsid w:val="72D920F7"/>
    <w:rsid w:val="72DD51E1"/>
    <w:rsid w:val="73324EFC"/>
    <w:rsid w:val="735BCCF3"/>
    <w:rsid w:val="736A59E0"/>
    <w:rsid w:val="73976282"/>
    <w:rsid w:val="73B63B49"/>
    <w:rsid w:val="73F980A7"/>
    <w:rsid w:val="744627E6"/>
    <w:rsid w:val="75AF28B4"/>
    <w:rsid w:val="75D5FE4A"/>
    <w:rsid w:val="76510972"/>
    <w:rsid w:val="76C53950"/>
    <w:rsid w:val="77295347"/>
    <w:rsid w:val="778F22FE"/>
    <w:rsid w:val="77982593"/>
    <w:rsid w:val="77CD6969"/>
    <w:rsid w:val="78EA2794"/>
    <w:rsid w:val="79160BAD"/>
    <w:rsid w:val="7922032B"/>
    <w:rsid w:val="7A623187"/>
    <w:rsid w:val="7AB55578"/>
    <w:rsid w:val="7AD67302"/>
    <w:rsid w:val="7B835882"/>
    <w:rsid w:val="7BDC6CB2"/>
    <w:rsid w:val="7BEBFFE9"/>
    <w:rsid w:val="7BFDFF17"/>
    <w:rsid w:val="7BFF9091"/>
    <w:rsid w:val="7C2E2A60"/>
    <w:rsid w:val="7C5F94F1"/>
    <w:rsid w:val="7D345EAB"/>
    <w:rsid w:val="7D47A667"/>
    <w:rsid w:val="7D535C5D"/>
    <w:rsid w:val="7D6FEB0D"/>
    <w:rsid w:val="7DB79499"/>
    <w:rsid w:val="7DBFB886"/>
    <w:rsid w:val="7E425CAD"/>
    <w:rsid w:val="7EAAFA44"/>
    <w:rsid w:val="7EFE0F39"/>
    <w:rsid w:val="7F19776C"/>
    <w:rsid w:val="7F2E4F52"/>
    <w:rsid w:val="7F3FC4FF"/>
    <w:rsid w:val="7F6B1EA7"/>
    <w:rsid w:val="7F9F98A0"/>
    <w:rsid w:val="7FB7CF50"/>
    <w:rsid w:val="7FBD691B"/>
    <w:rsid w:val="7FBEB4CF"/>
    <w:rsid w:val="7FBFB93B"/>
    <w:rsid w:val="7FEE5B15"/>
    <w:rsid w:val="7FEFF1B1"/>
    <w:rsid w:val="7FF5E3B8"/>
    <w:rsid w:val="7FFE03EE"/>
    <w:rsid w:val="8E6DEB54"/>
    <w:rsid w:val="9BFBE9BF"/>
    <w:rsid w:val="9FC7B288"/>
    <w:rsid w:val="A15B947E"/>
    <w:rsid w:val="AE5FC4E2"/>
    <w:rsid w:val="B13A9939"/>
    <w:rsid w:val="B55CC7A4"/>
    <w:rsid w:val="BCE7FE2D"/>
    <w:rsid w:val="BDD84557"/>
    <w:rsid w:val="BEE2ECD4"/>
    <w:rsid w:val="BF1BCDE6"/>
    <w:rsid w:val="BFFF3415"/>
    <w:rsid w:val="C7FF12A7"/>
    <w:rsid w:val="CF6F4254"/>
    <w:rsid w:val="CFEE7D74"/>
    <w:rsid w:val="D33B5121"/>
    <w:rsid w:val="D5BF8EF3"/>
    <w:rsid w:val="DDBE4558"/>
    <w:rsid w:val="DDDBC347"/>
    <w:rsid w:val="DEF5BDD8"/>
    <w:rsid w:val="DF7BD288"/>
    <w:rsid w:val="DFD7D71D"/>
    <w:rsid w:val="E77F0B5D"/>
    <w:rsid w:val="E8D72AFD"/>
    <w:rsid w:val="EA3FA5E4"/>
    <w:rsid w:val="EBFA1311"/>
    <w:rsid w:val="EF1353C6"/>
    <w:rsid w:val="EF98A750"/>
    <w:rsid w:val="EFBD04AE"/>
    <w:rsid w:val="F59F35A6"/>
    <w:rsid w:val="F7FAB70A"/>
    <w:rsid w:val="F9FFCDC8"/>
    <w:rsid w:val="FB6B7FCC"/>
    <w:rsid w:val="FBBD2075"/>
    <w:rsid w:val="FBCFAEF4"/>
    <w:rsid w:val="FBF3D46F"/>
    <w:rsid w:val="FBFF0854"/>
    <w:rsid w:val="FDA9A884"/>
    <w:rsid w:val="FDB7BDDB"/>
    <w:rsid w:val="FDBF4C1A"/>
    <w:rsid w:val="FEDDA46B"/>
    <w:rsid w:val="FF2F3042"/>
    <w:rsid w:val="FF6292B2"/>
    <w:rsid w:val="FF9D4228"/>
    <w:rsid w:val="FF9F06DC"/>
    <w:rsid w:val="FFBC0F07"/>
    <w:rsid w:val="FFEB4B19"/>
    <w:rsid w:val="FFF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widowControl w:val="0"/>
      <w:spacing w:after="0" w:line="560" w:lineRule="exact"/>
      <w:ind w:left="0" w:leftChars="0" w:firstLine="420" w:firstLineChars="200"/>
      <w:jc w:val="both"/>
    </w:pPr>
    <w:rPr>
      <w:rFonts w:ascii="Calibri" w:hAnsi="Calibri" w:eastAsia="Times New Roman" w:cs="Times New Roman"/>
      <w:kern w:val="0"/>
      <w:sz w:val="20"/>
      <w:szCs w:val="20"/>
      <w:lang w:val="en-US" w:eastAsia="zh-CN" w:bidi="ar-SA"/>
    </w:r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0"/>
    <w:pPr>
      <w:ind w:firstLine="200" w:firstLineChars="200"/>
    </w:pPr>
  </w:style>
  <w:style w:type="paragraph" w:customStyle="1" w:styleId="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6">
    <w:name w:val="Body Text 3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  <w:sz w:val="16"/>
      <w:szCs w:val="16"/>
    </w:rPr>
  </w:style>
  <w:style w:type="paragraph" w:styleId="7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1"/>
    <w:basedOn w:val="1"/>
    <w:next w:val="1"/>
    <w:unhideWhenUsed/>
    <w:qFormat/>
    <w:uiPriority w:val="99"/>
    <w:pPr>
      <w:widowControl w:val="0"/>
      <w:snapToGrid w:val="0"/>
      <w:spacing w:line="640" w:lineRule="exact"/>
      <w:ind w:firstLine="705"/>
      <w:jc w:val="both"/>
    </w:pPr>
    <w:rPr>
      <w:rFonts w:hint="eastAsia" w:ascii="仿宋_GB2312" w:hAnsi="Calibri" w:eastAsia="仿宋_GB2312" w:cs="Times New Roman"/>
      <w:color w:val="000000"/>
      <w:kern w:val="2"/>
      <w:sz w:val="36"/>
      <w:szCs w:val="24"/>
      <w:lang w:val="en-US" w:eastAsia="zh-CN" w:bidi="ar-SA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3141</Words>
  <Characters>3216</Characters>
  <Lines>0</Lines>
  <Paragraphs>0</Paragraphs>
  <ScaleCrop>false</ScaleCrop>
  <LinksUpToDate>false</LinksUpToDate>
  <CharactersWithSpaces>3335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2014-11-02T04:08:00Z</dcterms:created>
  <dc:creator>Administrator</dc:creator>
  <cp:lastModifiedBy>LTGX04</cp:lastModifiedBy>
  <cp:lastPrinted>2024-04-15T06:31:00Z</cp:lastPrinted>
  <dcterms:modified xsi:type="dcterms:W3CDTF">2024-04-24T06:59:56Z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  <property fmtid="{D5CDD505-2E9C-101B-9397-08002B2CF9AE}" pid="3" name="ICV">
    <vt:lpwstr>97960CCEA8054992A5455F4F6A2AD1D9</vt:lpwstr>
  </property>
</Properties>
</file>