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鲁人社函〔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山东省人力资源和社会保障厅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山东省教育厅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关于推动职业指导服务“进校园”“进企业”“进社区”的通知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各市人力资源社会保障局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各普通高等学校：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为全面贯彻落实党的二十大精神和党中央、国务院关于稳就业工作决策部署</w:t>
      </w:r>
      <w:r>
        <w:rPr>
          <w:rFonts w:hint="eastAsia"/>
          <w:color w:val="auto"/>
          <w:lang w:val="en-US" w:eastAsia="zh-CN"/>
        </w:rPr>
        <w:t>，深入</w:t>
      </w:r>
      <w:r>
        <w:rPr>
          <w:rFonts w:hint="default"/>
          <w:color w:val="auto"/>
          <w:lang w:val="en-US" w:eastAsia="zh-CN"/>
        </w:rPr>
        <w:t>实施就业优先战略</w:t>
      </w:r>
      <w:r>
        <w:rPr>
          <w:rFonts w:hint="eastAsia"/>
          <w:color w:val="auto"/>
          <w:lang w:val="en-US" w:eastAsia="zh-CN"/>
        </w:rPr>
        <w:t>，充分发挥职业指导在促进高质量充分就业中的桥梁媒介作用，不断推动职业指导服务“进校园”“进企业”“进社区”，现将有关事项通知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如下：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深入贯彻党的二十大精神，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全面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十四五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就业促进规划》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任务要求，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进六送”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进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进高校，进企业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进社区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六送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送培训，送政策，送测评，送指导，送岗位，送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实践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工作主线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线上打造职业指导“空中课堂”，线下推出一批高质量职业指导服务活动，培育具有山东特色的职业指导服务品牌，助力高质量充分就业。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（一）推动职业指导服务“进校园”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以联合式服务为核心，充分发挥政府、高校、企业、人力资源机构作用，开展多元化职业指导服务，全面提升大学生职业指导服务水平。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1.推出线上职业指导“大课堂”。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针对大学生不同年级</w:t>
      </w:r>
      <w:r>
        <w:rPr>
          <w:rFonts w:hint="eastAsia" w:ascii="仿宋_GB2312" w:hAnsi="仿宋_GB2312" w:cs="仿宋_GB2312"/>
          <w:color w:val="auto"/>
          <w:lang w:val="en-US" w:eastAsia="zh-CN"/>
        </w:rPr>
        <w:t>不同专业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不同服务需求，</w:t>
      </w:r>
      <w:r>
        <w:rPr>
          <w:rFonts w:hint="eastAsia"/>
          <w:color w:val="auto"/>
          <w:lang w:val="en-US" w:eastAsia="zh-CN"/>
        </w:rPr>
        <w:t>邀请省级职业指导专家走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进直播间，录制</w:t>
      </w:r>
      <w:r>
        <w:rPr>
          <w:rFonts w:hint="eastAsia" w:ascii="仿宋_GB2312" w:hAnsi="仿宋_GB2312" w:cs="仿宋_GB2312"/>
          <w:color w:va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期</w:t>
      </w:r>
      <w:r>
        <w:rPr>
          <w:rFonts w:hint="eastAsia" w:ascii="仿宋_GB2312" w:hAnsi="仿宋_GB2312" w:cs="仿宋_GB2312"/>
          <w:color w:val="auto"/>
          <w:lang w:val="en-US" w:eastAsia="zh-CN"/>
        </w:rPr>
        <w:t>“定制式”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职业指导</w:t>
      </w:r>
      <w:r>
        <w:rPr>
          <w:rFonts w:hint="eastAsia" w:ascii="仿宋_GB2312" w:hAnsi="仿宋_GB2312" w:cs="仿宋_GB2312"/>
          <w:color w:val="auto"/>
          <w:lang w:val="en-US" w:eastAsia="zh-CN"/>
        </w:rPr>
        <w:t>讲座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视频</w:t>
      </w:r>
      <w:r>
        <w:rPr>
          <w:rFonts w:hint="eastAsia" w:ascii="仿宋_GB2312" w:hAnsi="仿宋_GB2312" w:cs="仿宋_GB2312"/>
          <w:color w:val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同时</w:t>
      </w:r>
      <w:r>
        <w:rPr>
          <w:rFonts w:hint="eastAsia" w:ascii="仿宋_GB2312" w:hAnsi="仿宋_GB2312" w:cs="仿宋_GB2312"/>
          <w:color w:val="auto"/>
          <w:lang w:val="en-US" w:eastAsia="zh-CN"/>
        </w:rPr>
        <w:t>针对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当代年轻人获取信息碎片化</w:t>
      </w:r>
      <w:r>
        <w:rPr>
          <w:rFonts w:hint="eastAsia" w:ascii="仿宋_GB2312" w:hAnsi="仿宋_GB2312" w:cs="仿宋_GB2312"/>
          <w:color w:val="auto"/>
          <w:lang w:val="en-US" w:eastAsia="zh-CN"/>
        </w:rPr>
        <w:t>、快速化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等特点，</w:t>
      </w:r>
      <w:r>
        <w:rPr>
          <w:rFonts w:hint="eastAsia" w:ascii="仿宋_GB2312" w:hAnsi="仿宋_GB2312" w:cs="仿宋_GB2312"/>
          <w:color w:val="auto"/>
          <w:lang w:val="en-US" w:eastAsia="zh-CN"/>
        </w:rPr>
        <w:t>依托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门户网站、微信公众号、视频号</w:t>
      </w:r>
      <w:r>
        <w:rPr>
          <w:rFonts w:hint="eastAsia" w:ascii="仿宋_GB2312" w:hAnsi="仿宋_GB2312" w:cs="仿宋_GB2312"/>
          <w:color w:val="auto"/>
          <w:lang w:val="en-US" w:eastAsia="zh-CN"/>
        </w:rPr>
        <w:t>、抖音号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等平台载体，</w:t>
      </w:r>
      <w:r>
        <w:rPr>
          <w:rFonts w:hint="eastAsia" w:ascii="仿宋_GB2312" w:hAnsi="仿宋_GB2312" w:cs="仿宋_GB2312"/>
          <w:color w:val="auto"/>
          <w:lang w:val="en-US" w:eastAsia="zh-CN"/>
        </w:rPr>
        <w:t>策划推出“职场训练营”系列短</w:t>
      </w:r>
      <w:r>
        <w:rPr>
          <w:rFonts w:hint="eastAsia" w:ascii="仿宋_GB2312" w:hAnsi="仿宋_GB2312" w:cs="仿宋_GB2312"/>
          <w:color w:val="auto"/>
        </w:rPr>
        <w:t>视频</w:t>
      </w:r>
      <w:r>
        <w:rPr>
          <w:rFonts w:hint="eastAsia" w:ascii="仿宋_GB2312" w:hAnsi="仿宋_GB2312" w:cs="仿宋_GB2312"/>
          <w:color w:va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进一步扩大影响力与关注度。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/>
        <w:textAlignment w:val="auto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充实拓展高等院校职业指导服务内容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以学生的实际需求为导向，推动</w:t>
      </w:r>
      <w:r>
        <w:rPr>
          <w:rFonts w:hint="eastAsia"/>
          <w:color w:val="auto"/>
          <w:lang w:val="en-US" w:eastAsia="zh-CN"/>
        </w:rPr>
        <w:t>人社与教育、高校与地方职业指导资源耦合联动，将各领域、各层次的</w:t>
      </w:r>
      <w:r>
        <w:rPr>
          <w:rFonts w:hint="eastAsia" w:ascii="仿宋_GB2312" w:hAnsi="仿宋_GB2312" w:cs="仿宋_GB2312"/>
          <w:color w:val="auto"/>
          <w:szCs w:val="32"/>
        </w:rPr>
        <w:t>职业指导专家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请</w:t>
      </w:r>
      <w:r>
        <w:rPr>
          <w:rFonts w:hint="eastAsia" w:ascii="仿宋_GB2312" w:hAnsi="仿宋_GB2312" w:cs="仿宋_GB2312"/>
          <w:color w:val="auto"/>
          <w:szCs w:val="32"/>
        </w:rPr>
        <w:t>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校园，</w:t>
      </w:r>
      <w:r>
        <w:rPr>
          <w:rFonts w:hint="eastAsia" w:ascii="仿宋_GB2312" w:hAnsi="仿宋_GB2312" w:cs="仿宋_GB2312"/>
          <w:color w:val="auto"/>
          <w:szCs w:val="32"/>
        </w:rPr>
        <w:t>开展职业指导服务。</w:t>
      </w:r>
      <w:r>
        <w:rPr>
          <w:rFonts w:hint="eastAsia"/>
          <w:color w:val="auto"/>
          <w:lang w:val="en-US" w:eastAsia="zh-CN"/>
        </w:rPr>
        <w:t>鼓励各地人力资源社会保障部门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与教育部门联动举办职业指导师资培训班，组织业内专家集中授课，培强培优职业指导师资力量。</w:t>
      </w:r>
      <w:r>
        <w:rPr>
          <w:rFonts w:hint="eastAsia" w:ascii="仿宋_GB2312" w:hAnsi="仿宋_GB2312" w:cs="仿宋_GB2312"/>
          <w:color w:val="auto"/>
          <w:szCs w:val="32"/>
        </w:rPr>
        <w:t>鼓励各市与驻鲁高校共同开展职业指导服务，推动校外职业指导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资源</w:t>
      </w:r>
      <w:r>
        <w:rPr>
          <w:rFonts w:hint="eastAsia" w:ascii="仿宋_GB2312" w:hAnsi="仿宋_GB2312" w:cs="仿宋_GB2312"/>
          <w:color w:val="auto"/>
          <w:szCs w:val="32"/>
        </w:rPr>
        <w:t>与校内就业指导服务有机结合。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3.推出职业指导服务进校园系列活动。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依托</w:t>
      </w:r>
      <w:r>
        <w:rPr>
          <w:rFonts w:hint="eastAsia" w:ascii="仿宋_GB2312" w:hAnsi="仿宋_GB2312" w:cs="仿宋_GB2312"/>
          <w:color w:val="auto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“职引未来—大中城市联合招聘高校毕业生专场活动”“‘就选山东’高校毕业生校园招聘系列活动”“全国人力资源市场高校毕业生就业服务周”等省市重点毕业生就业服务活动，</w:t>
      </w:r>
      <w:r>
        <w:rPr>
          <w:rFonts w:hint="eastAsia" w:ascii="仿宋_GB2312" w:hAnsi="仿宋_GB2312" w:cs="仿宋_GB2312"/>
          <w:color w:val="auto"/>
          <w:lang w:val="en-US" w:eastAsia="zh-CN"/>
        </w:rPr>
        <w:t>开设职业指导“咨询台”，组织职业指导“专题课”，举办职业指导“大讲堂”，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提升职业指导</w:t>
      </w:r>
      <w:r>
        <w:rPr>
          <w:rFonts w:hint="eastAsia" w:ascii="仿宋_GB2312" w:hAnsi="仿宋_GB2312" w:cs="仿宋_GB2312"/>
          <w:color w:val="auto"/>
          <w:lang w:val="en-US" w:eastAsia="zh-CN"/>
        </w:rPr>
        <w:t>校园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服务</w:t>
      </w:r>
      <w:r>
        <w:rPr>
          <w:rFonts w:hint="eastAsia" w:ascii="仿宋_GB2312" w:hAnsi="仿宋_GB2312" w:cs="仿宋_GB2312"/>
          <w:color w:val="auto"/>
          <w:lang w:val="en-US" w:eastAsia="zh-CN"/>
        </w:rPr>
        <w:t>质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4.支持校地联合开展多元化职业指导服务。</w:t>
      </w:r>
      <w:r>
        <w:rPr>
          <w:rFonts w:hint="eastAsia" w:ascii="仿宋_GB2312" w:hAnsi="仿宋_GB2312" w:cs="仿宋_GB2312"/>
          <w:color w:val="auto"/>
          <w:lang w:val="en-US" w:eastAsia="zh-CN"/>
        </w:rPr>
        <w:t>开展“就职指南针”职业指导试点工作，遴选部分市、县级公共就业服务机构，因地制宜地开展职业指导特色活动和服务，打造毕业生职业指导服务“地方样板”。依托“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优质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</w:rPr>
        <w:t>人力资源服务机构进校园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活动</w:t>
      </w:r>
      <w:r>
        <w:rPr>
          <w:rFonts w:hint="eastAsia" w:ascii="仿宋_GB2312" w:hAnsi="仿宋_GB2312" w:cs="仿宋_GB2312"/>
          <w:color w:val="auto"/>
          <w:lang w:val="en-US" w:eastAsia="zh-CN"/>
        </w:rPr>
        <w:t>”，开展“前置化”职业指导服务，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支持各重点企业、人力资源服务机构与高校开展联合培养，进一步畅通校企衔接培养和实习转录用机制，助推毕业生高质量精准就业。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（二）推动职业指导服务“进企业”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以精准化服务为核心，根据企业需求，通过“一企一策”方式定制开展企业职业指导服务。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1.持续升级“空中厨房”线上指导品牌。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联</w:t>
      </w:r>
      <w:r>
        <w:rPr>
          <w:rFonts w:hint="eastAsia" w:cs="Times New Roman"/>
          <w:color w:val="auto"/>
          <w:lang w:val="en-US" w:eastAsia="zh-CN"/>
        </w:rPr>
        <w:t>合重点用人主体打造“直播带岗”升级版，在开展岗位推介、就业环境介绍的同时，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邀请资深职业指导专家</w:t>
      </w:r>
      <w:r>
        <w:rPr>
          <w:rFonts w:hint="eastAsia" w:cs="Times New Roman"/>
          <w:color w:val="auto"/>
          <w:lang w:val="en-US" w:eastAsia="zh-CN"/>
        </w:rPr>
        <w:t>配套提供职业生涯规划服务，延伸“直播带岗”服务触角。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鼓励各地充分结合自身产业发展优势，遴选</w:t>
      </w:r>
      <w:r>
        <w:rPr>
          <w:rFonts w:hint="eastAsia" w:cs="Times New Roman"/>
          <w:color w:val="auto"/>
          <w:lang w:val="en-US" w:eastAsia="zh-CN"/>
        </w:rPr>
        <w:t>一批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引领性强、影响力大的</w:t>
      </w:r>
      <w:r>
        <w:rPr>
          <w:rFonts w:hint="eastAsia" w:cs="Times New Roman"/>
          <w:color w:val="auto"/>
          <w:lang w:val="en-US" w:eastAsia="zh-CN"/>
        </w:rPr>
        <w:t>产业“带头人”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进入</w:t>
      </w:r>
      <w:r>
        <w:rPr>
          <w:rFonts w:hint="eastAsia" w:cs="Times New Roman"/>
          <w:color w:val="auto"/>
          <w:lang w:val="en-US" w:eastAsia="zh-CN"/>
        </w:rPr>
        <w:t>直播间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，</w:t>
      </w:r>
      <w:r>
        <w:rPr>
          <w:rFonts w:hint="eastAsia" w:cs="Times New Roman"/>
          <w:color w:val="auto"/>
          <w:lang w:val="en-US" w:eastAsia="zh-CN"/>
        </w:rPr>
        <w:t>分产业分领域推出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一批</w:t>
      </w:r>
      <w:r>
        <w:rPr>
          <w:rFonts w:hint="eastAsia" w:cs="Times New Roman"/>
          <w:color w:val="auto"/>
          <w:lang w:val="en-US" w:eastAsia="zh-CN"/>
        </w:rPr>
        <w:t>线上培训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金牌栏目，充分发挥典型引路和榜样示范作用，</w:t>
      </w:r>
      <w:r>
        <w:rPr>
          <w:rFonts w:hint="eastAsia" w:cs="Times New Roman"/>
          <w:color w:val="auto"/>
          <w:lang w:val="en-US" w:eastAsia="zh-CN"/>
        </w:rPr>
        <w:t>帮助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本土产业</w:t>
      </w:r>
      <w:r>
        <w:rPr>
          <w:rFonts w:hint="eastAsia" w:cs="Times New Roman"/>
          <w:color w:val="auto"/>
          <w:lang w:val="en-US" w:eastAsia="zh-CN"/>
        </w:rPr>
        <w:t>从业者增级提升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2.健全完善用人主体职业指导服务体系。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支持人力资源市场、企业人力资源部门设置“职业诊所”，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定期组织职业指导师走进企业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园区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围绕用工政策、人力资源管理、权益维护等专题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，举办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讲座或座谈沙龙活动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，帮助用人主体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健全劳动管理规章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制度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，规范劳动关系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对员工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招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留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育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用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等人力资源管理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环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节有指导需求的企业，及时开展指导帮扶。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3.支持推动职业指导服务市场化发展。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鼓励各地依托行业协会、商会等平台，充分发挥产业链头部企业、专业化人力资源机构作用，建设产业性、地域性就业联盟，开展职业指导互助活动。鼓励重点企业、机构发挥“头雁”作用，为产业内、地域内中小企业提供用人指导等服务。持续引导职业指导师赛事活动向市场用人主体倾斜，通过赛事激励等方式，提升一线职业指导师队伍</w:t>
      </w:r>
      <w:r>
        <w:rPr>
          <w:rFonts w:hint="eastAsia" w:ascii="仿宋_GB2312" w:hAnsi="仿宋_GB2312" w:cs="仿宋_GB2312"/>
          <w:color w:val="auto"/>
          <w:szCs w:val="32"/>
        </w:rPr>
        <w:t>综合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素质</w:t>
      </w:r>
      <w:r>
        <w:rPr>
          <w:rFonts w:hint="eastAsia" w:ascii="仿宋_GB2312" w:hAnsi="仿宋_GB2312" w:cs="仿宋_GB2312"/>
          <w:color w:val="auto"/>
          <w:szCs w:val="32"/>
        </w:rPr>
        <w:t>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4.推出职业指导特色研学实践活动。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依托“名校师生山东城市行”等活动平台，鼓励各地、各高校采取校地、校企联动方式，抓住寒暑假高校学生返乡旅游窗口期，组织学生开展具有地方特色的研学实践活动。积极推动参加地方研学实训活动与高校专业实习学分挂钩，优先推荐参加活动学生作为山东省校园引才大使聘任人选。创新推出“进企业、入职场、受培训”等“沉浸式”体验模式，让学生感同身受山东产业发展活力和风土人情魅力，推动学生留鲁就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（三）推动职业指导服务“进社区”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以便利化服务为核心，多部门联动开展职业指导帮扶和就业援助工作，着力提升服务对象的获得感和幸福感。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1.优化社区职业指导服务载体建设。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依托基层公共就业服务机构、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社区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就业服务网点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等平台，进一步提升职业指导工作室等相关载体的普及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与覆盖率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合理规划布局，丰富完善功能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。充分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发挥职业指导师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作用，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提供个性化精细化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一对一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指导、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阶段性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咨询、就业沙龙等服务，为群众提供方便可及的职业指导服务。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2.加强基层社区职业指导队伍建设。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支持各地推广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职业指导专家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轮班坐诊制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”服务模式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定期开展职业指导“开门问诊”工作，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为社区居民提供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“有求必应”的职业指导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服务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。推动职业指导师培训下沉基层社区，支持基层就业服务窗口人员、社区工作站、社区公益性岗位人员接受系统性职业指导培训、成为基层职业指导师，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对社区内就业困难人员提供就业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帮扶和指导服务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3.开展社区职业指导服务专题活动。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在“就业援助月”“春暖农民工”“失业人员集中帮扶”等省市重点就业服务帮扶行动期间，组织专门力量，面向农民工、就业困难人员等重点群体，集中提供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送培训、送政策、送测评、送指导、送岗位等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职业指导服务，提升就业援助精准性、实效性，助力服务对象增技增收。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textAlignment w:val="auto"/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4.推出职业指导专场直播活动。面向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社区离校未就业毕业生、妇女、退役军人、残疾人、失业人员等就业重点群体，推出一批针对性强、内容优质的职业指导线上培训课程，讲授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</w:rPr>
        <w:t>求职方法、求职技巧等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实用知识。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创新课程互动形式，采取求职者与职业指导师线上“连麦互动”等方式，开展“一对一”答疑解惑，进一步提升指导服务的精准性与靶向性。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5.建立社区职业指导联动服务机制。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依托“巾帼就业服务行动”“退役军人及部队随军家属就业服务活动”等省市重点就业服务专题活动，联动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民政、残联、工会、妇联等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部门，共同开展帮扶指导工作。创新打造“职业指导+”服务模式，开展系列专题服务活动，为妇女、退役军人及随军家属、残疾人等就业群体，提供更具专业性、更加精准的职业指导服务。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人力资源社会保障部门要加强协同配合，细化配套措施，明确责任分工，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确保工作实效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加强职业指导作为提升公共就业服务质量的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重要手段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规范工作程序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形成工作合力。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（二）完善工作机制。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尽快制定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“三进”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工作方案，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合理安排各类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定期总结职业指导服务成果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强化与相关部门的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协调衔接，确保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政策引导、就业指导、职业介绍等服务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落地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强化资金保障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人力资源社会保障局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市职业指导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队伍建设需求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争取财政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支持，加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大服务场所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设施设备支撑，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公共就业服务能力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、信息化建设水平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/>
          <w:lang w:val="en-US" w:eastAsia="zh-CN"/>
        </w:rPr>
        <w:t>充足必要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（四）提升宣传效能。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各地应及时总结发掘职业指导工作中的改革举措、经验做法，通过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典型引路、榜样示范的方式，持续扩大职业指导服务的社会影响力与群众美誉度。要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统筹运用各类媒体平台，以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群众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喜闻乐见的形式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开展职业指导服务普及、宣介工作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，营造良好舆论环境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（五）及时报送进展。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为全面掌握各地工作进展和服务成效，请各市人力资源社会保障部门按季度报送职业指导“三进”工作开展情况（附件1），年底前报送工作总结及《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特色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职业指导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情况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》（附件2）。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rPr>
          <w:rFonts w:hint="default" w:ascii="仿宋_GB2312" w:hAnsi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联 系 人：马 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 xml:space="preserve">    联系方式：0531—51788635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电子邮箱：mayrst@shandong.cn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19" w:leftChars="186" w:right="0" w:rightChars="0" w:hanging="632" w:hanging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51" w:leftChars="186" w:right="0" w:rightChars="0" w:hanging="1264" w:hanging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softHyphen/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_______市2024年1月-__月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开展职业指导服务“进校园”“进企业”“进社区”工作进展情况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45" w:leftChars="484" w:right="0" w:rightChars="0" w:hanging="316" w:hanging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________市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特色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职业指导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情况表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spacing w:line="560" w:lineRule="exact"/>
        <w:ind w:firstLine="640"/>
        <w:rPr>
          <w:rFonts w:hint="default" w:ascii="仿宋_GB2312" w:hAnsi="仿宋_GB2312" w:eastAsia="仿宋_GB2312" w:cs="仿宋_GB2312"/>
          <w:color w:val="auto"/>
          <w:szCs w:val="32"/>
          <w:highlight w:val="none"/>
          <w:lang w:val="en-US" w:eastAsia="zh-CN"/>
        </w:rPr>
      </w:pPr>
    </w:p>
    <w:tbl>
      <w:tblPr>
        <w:tblStyle w:val="13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山东省人力资源和社会保障厅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8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山东省教育厅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（此件主动公开）</w:t>
      </w:r>
    </w:p>
    <w:p>
      <w:pPr>
        <w:pStyle w:val="2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（联系单位：</w:t>
      </w:r>
      <w:r>
        <w:rPr>
          <w:rFonts w:hint="default" w:ascii="仿宋_GB2312" w:hAnsi="仿宋_GB2312" w:cs="仿宋_GB2312"/>
          <w:color w:val="auto"/>
          <w:spacing w:val="-10"/>
          <w:szCs w:val="32"/>
          <w:lang w:eastAsia="zh-CN"/>
        </w:rPr>
        <w:t>省公共就业和人才服务中心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10"/>
          <w:sz w:val="32"/>
          <w:szCs w:val="32"/>
          <w:shd w:val="clear" w:fill="FFFFFF"/>
        </w:rPr>
        <w:t>人力资源市场服务处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/>
          <w:color w:val="auto"/>
          <w:lang w:val="en-US" w:eastAsia="zh-CN"/>
        </w:rPr>
      </w:pPr>
    </w:p>
    <w:p>
      <w:pPr>
        <w:pStyle w:val="3"/>
        <w:spacing w:line="560" w:lineRule="exact"/>
        <w:rPr>
          <w:rFonts w:hint="default"/>
          <w:color w:val="auto"/>
          <w:lang w:val="en-US" w:eastAsia="zh-CN"/>
        </w:rPr>
      </w:pPr>
    </w:p>
    <w:p>
      <w:pPr>
        <w:pStyle w:val="3"/>
        <w:spacing w:line="560" w:lineRule="exact"/>
        <w:rPr>
          <w:rFonts w:hint="default"/>
          <w:color w:val="auto"/>
          <w:lang w:val="en-US" w:eastAsia="zh-CN"/>
        </w:rPr>
      </w:pPr>
    </w:p>
    <w:p>
      <w:pPr>
        <w:pStyle w:val="3"/>
        <w:spacing w:line="560" w:lineRule="exact"/>
        <w:ind w:firstLine="0" w:firstLineChars="0"/>
        <w:rPr>
          <w:rFonts w:hint="default"/>
          <w:color w:val="auto"/>
          <w:lang w:val="en-US" w:eastAsia="zh-CN"/>
        </w:rPr>
      </w:pPr>
    </w:p>
    <w:p>
      <w:pPr>
        <w:pStyle w:val="3"/>
        <w:spacing w:line="560" w:lineRule="exact"/>
        <w:rPr>
          <w:rFonts w:hint="default"/>
          <w:color w:val="auto"/>
          <w:lang w:val="en-US" w:eastAsia="zh-CN"/>
        </w:rPr>
      </w:pPr>
    </w:p>
    <w:p>
      <w:pPr>
        <w:pStyle w:val="3"/>
        <w:spacing w:line="560" w:lineRule="exact"/>
        <w:ind w:firstLine="0" w:firstLineChars="0"/>
        <w:rPr>
          <w:rFonts w:hint="default"/>
          <w:color w:val="auto"/>
          <w:lang w:val="en-US" w:eastAsia="zh-CN"/>
        </w:rPr>
        <w:sectPr>
          <w:pgSz w:w="11906" w:h="16838"/>
          <w:pgMar w:top="2098" w:right="1531" w:bottom="1814" w:left="1531" w:header="851" w:footer="1587" w:gutter="0"/>
          <w:pgNumType w:fmt="decimal" w:start="2"/>
          <w:cols w:space="0" w:num="1"/>
          <w:rtlGutter w:val="0"/>
          <w:docGrid w:type="linesAndChars" w:linePitch="587" w:charSpace="-849"/>
        </w:sectPr>
      </w:pPr>
    </w:p>
    <w:p>
      <w:pPr>
        <w:pStyle w:val="7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softHyphen/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_______市2024年1月-__月开展职业指导服务“进校园”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“进企业”“进社区”工作进展情况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填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报单位（盖章）：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                          联系人及电话：</w:t>
      </w:r>
    </w:p>
    <w:tbl>
      <w:tblPr>
        <w:tblStyle w:val="12"/>
        <w:tblW w:w="137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745"/>
        <w:gridCol w:w="7184"/>
        <w:gridCol w:w="3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内容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进展情况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职业指导</w:t>
            </w:r>
          </w:p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服务进高校</w:t>
            </w:r>
          </w:p>
          <w:p>
            <w:pPr>
              <w:spacing w:line="3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在高校举办线下职业指导活动场次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（包括校园招聘活动期间设置职业指导服务区）；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举办线上职业指导课堂场次；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其中，开展职业指导师进校园活动、职业指导专题活动场次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（可与1、2项重复）；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其中，开展人力资源机构进高校活动场次（可与1、2项重复）；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累计服务高校毕业生人次；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职业指导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服务进企业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面向企业开展职业指导服务场次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（包括人力资源市场举办招聘会期间设置职业指导服务区）；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职业指导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服务进企业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举办“直播带岗”“直播探企”活动场次；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为企业提供员工职业辅导等用工保障服务场次；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组织人力资源机构为企业提供职业指导服务场次；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为企业组织学生实习、研学实践活动场次及服务人次；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服务用人主体家次；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服务企业员工和求职者人次；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职业指导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服务进社区</w:t>
            </w: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拥有职业指导工作站数量；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拥有市级以上职业指导专家数量，从事职业指导服务工作人员数量；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面向基层社区开展职业指导服务活动场次及服务人次；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发布各类职业指导公益课程、短视频数量；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服务就业困难人员等基层重点就业群体人次；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累计举办职业指导活动场次；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累计服务用人主体家次；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累计服务求职者人次。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</w:tbl>
    <w:p>
      <w:pPr>
        <w:pStyle w:val="7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7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________市特色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职业指导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项目实施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情况表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全年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）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填报单位（盖章）：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                                   联系人及电话：</w:t>
      </w:r>
    </w:p>
    <w:tbl>
      <w:tblPr>
        <w:tblStyle w:val="13"/>
        <w:tblW w:w="135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254"/>
        <w:gridCol w:w="4045"/>
        <w:gridCol w:w="4107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47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54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4045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主要内容</w:t>
            </w:r>
          </w:p>
        </w:tc>
        <w:tc>
          <w:tcPr>
            <w:tcW w:w="4107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实施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1724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447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254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045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107" w:type="dxa"/>
            <w:vAlign w:val="top"/>
          </w:tcPr>
          <w:p>
            <w:pPr>
              <w:pStyle w:val="9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9"/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9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447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254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045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107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24" w:type="dxa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560" w:firstLineChars="200"/>
              <w:jc w:val="both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ind w:firstLine="0" w:firstLineChars="0"/>
        <w:rPr>
          <w:rFonts w:hint="default"/>
          <w:color w:val="auto"/>
          <w:lang w:val="en-US" w:eastAsia="zh-CN"/>
        </w:rPr>
      </w:pPr>
    </w:p>
    <w:p>
      <w:pPr>
        <w:pStyle w:val="7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7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3"/>
        <w:ind w:firstLine="0" w:firstLineChars="0"/>
        <w:rPr>
          <w:rFonts w:hint="default"/>
          <w:color w:val="auto"/>
          <w:lang w:val="en-US" w:eastAsia="zh-CN"/>
        </w:rPr>
      </w:pPr>
    </w:p>
    <w:bookmarkEnd w:id="0"/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0287" w:usb1="00000000" w:usb2="00000000" w:usb3="00000000" w:csb0="4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mRhODBlOTFkOWFlOGI5ZDMzMmJiMmUzNTdkMTQifQ=="/>
    <w:docVar w:name="KSO_WPS_MARK_KEY" w:val="f8282e78-00c2-4c12-928c-9199bb7da8eb"/>
  </w:docVars>
  <w:rsids>
    <w:rsidRoot w:val="316E40F9"/>
    <w:rsid w:val="002C4C09"/>
    <w:rsid w:val="00F64163"/>
    <w:rsid w:val="02B41BBD"/>
    <w:rsid w:val="03377AEB"/>
    <w:rsid w:val="067A4312"/>
    <w:rsid w:val="071B77B9"/>
    <w:rsid w:val="087C4E5D"/>
    <w:rsid w:val="0B0C041C"/>
    <w:rsid w:val="0C156000"/>
    <w:rsid w:val="0C63171B"/>
    <w:rsid w:val="0EBF72F2"/>
    <w:rsid w:val="1104343D"/>
    <w:rsid w:val="128E642F"/>
    <w:rsid w:val="154E75CD"/>
    <w:rsid w:val="15E77380"/>
    <w:rsid w:val="17E05616"/>
    <w:rsid w:val="189A4C10"/>
    <w:rsid w:val="18A74BFE"/>
    <w:rsid w:val="1B9D389E"/>
    <w:rsid w:val="1BE2441A"/>
    <w:rsid w:val="1D836E90"/>
    <w:rsid w:val="1DAF4270"/>
    <w:rsid w:val="1F6A56FF"/>
    <w:rsid w:val="21217A3A"/>
    <w:rsid w:val="21702F68"/>
    <w:rsid w:val="22E10830"/>
    <w:rsid w:val="24940956"/>
    <w:rsid w:val="252F258F"/>
    <w:rsid w:val="25321644"/>
    <w:rsid w:val="26FE9E8D"/>
    <w:rsid w:val="27A21806"/>
    <w:rsid w:val="28816CB2"/>
    <w:rsid w:val="316E40F9"/>
    <w:rsid w:val="31A540EF"/>
    <w:rsid w:val="3349432A"/>
    <w:rsid w:val="33C15564"/>
    <w:rsid w:val="36BD05A7"/>
    <w:rsid w:val="38BF7961"/>
    <w:rsid w:val="397814CB"/>
    <w:rsid w:val="3AB415AA"/>
    <w:rsid w:val="3CF5232D"/>
    <w:rsid w:val="3F385889"/>
    <w:rsid w:val="41F11D3C"/>
    <w:rsid w:val="42441F5E"/>
    <w:rsid w:val="439E4ABC"/>
    <w:rsid w:val="45F0520D"/>
    <w:rsid w:val="46FD6749"/>
    <w:rsid w:val="47185450"/>
    <w:rsid w:val="48497D15"/>
    <w:rsid w:val="485D78B2"/>
    <w:rsid w:val="48A61035"/>
    <w:rsid w:val="49D07A43"/>
    <w:rsid w:val="49D90B86"/>
    <w:rsid w:val="4A713B57"/>
    <w:rsid w:val="4C7F001F"/>
    <w:rsid w:val="4CAE5D07"/>
    <w:rsid w:val="4FA14F53"/>
    <w:rsid w:val="507E7152"/>
    <w:rsid w:val="52D71C0B"/>
    <w:rsid w:val="53105571"/>
    <w:rsid w:val="53C13489"/>
    <w:rsid w:val="59EB67D1"/>
    <w:rsid w:val="5AF81AC2"/>
    <w:rsid w:val="5C1169D3"/>
    <w:rsid w:val="5D9C3B3F"/>
    <w:rsid w:val="5FBF6326"/>
    <w:rsid w:val="5FC71A8C"/>
    <w:rsid w:val="613A6B42"/>
    <w:rsid w:val="61582294"/>
    <w:rsid w:val="64AB55A6"/>
    <w:rsid w:val="671A73C5"/>
    <w:rsid w:val="69031619"/>
    <w:rsid w:val="69477EC4"/>
    <w:rsid w:val="6A7F102D"/>
    <w:rsid w:val="6AF672CE"/>
    <w:rsid w:val="6BBEEBC8"/>
    <w:rsid w:val="6F4C4BBE"/>
    <w:rsid w:val="74F46078"/>
    <w:rsid w:val="77F2592E"/>
    <w:rsid w:val="7B145A11"/>
    <w:rsid w:val="7CA10985"/>
    <w:rsid w:val="7E135D43"/>
    <w:rsid w:val="7FBF13D6"/>
    <w:rsid w:val="9FCD10D3"/>
    <w:rsid w:val="DF974114"/>
    <w:rsid w:val="E377618A"/>
    <w:rsid w:val="FEF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0" w:firstLineChars="200"/>
    </w:pPr>
    <w:rPr>
      <w:rFonts w:ascii="仿宋" w:hAnsi="仿宋" w:eastAsia="仿宋_GB2312" w:cstheme="minorBidi"/>
      <w:kern w:val="2"/>
      <w:sz w:val="32"/>
      <w:szCs w:val="24"/>
      <w:lang w:val="en-US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宋体" w:eastAsia="微软雅黑" w:cs="Courier New"/>
      <w:sz w:val="22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  <w:szCs w:val="21"/>
      <w:lang w:bidi="ar-SA"/>
    </w:rPr>
  </w:style>
  <w:style w:type="character" w:styleId="11">
    <w:name w:val="Emphasis"/>
    <w:basedOn w:val="10"/>
    <w:qFormat/>
    <w:uiPriority w:val="0"/>
    <w:rPr>
      <w:i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Heading5"/>
    <w:basedOn w:val="1"/>
    <w:next w:val="1"/>
    <w:qFormat/>
    <w:uiPriority w:val="0"/>
    <w:pPr>
      <w:keepNext/>
      <w:keepLines/>
      <w:ind w:left="0" w:hanging="851"/>
    </w:pPr>
    <w:rPr>
      <w:rFonts w:ascii="Calibri" w:hAnsi="Calibri" w:cs="Calibri"/>
      <w:b/>
      <w:bCs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2024-01-12T17:43:00Z</dcterms:created>
  <dc:creator>钟云鹏</dc:creator>
  <cp:lastModifiedBy>LTGX04</cp:lastModifiedBy>
  <cp:lastPrinted>2024-03-28T00:51:00Z</cp:lastPrinted>
  <dcterms:modified xsi:type="dcterms:W3CDTF">2024-04-11T06:43:04Z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FA9AFAAC538B4982856F061E263601C0_13</vt:lpwstr>
  </property>
</Properties>
</file>