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6"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86"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86"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86"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86"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86"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86" w:lineRule="exact"/>
        <w:jc w:val="center"/>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鲁人社字〔2024〕29号</w:t>
      </w:r>
    </w:p>
    <w:p>
      <w:pPr>
        <w:keepNext w:val="0"/>
        <w:keepLines w:val="0"/>
        <w:pageBreakBefore w:val="0"/>
        <w:widowControl w:val="0"/>
        <w:kinsoku/>
        <w:wordWrap/>
        <w:overflowPunct/>
        <w:topLinePunct w:val="0"/>
        <w:autoSpaceDE/>
        <w:autoSpaceDN/>
        <w:bidi w:val="0"/>
        <w:adjustRightInd/>
        <w:snapToGrid/>
        <w:spacing w:line="586"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86"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86"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r>
        <w:rPr>
          <w:rFonts w:hint="eastAsia" w:ascii="方正小标宋简体" w:hAnsi="方正小标宋简体" w:eastAsia="方正小标宋简体" w:cs="方正小标宋简体"/>
          <w:color w:val="auto"/>
          <w:sz w:val="44"/>
          <w:szCs w:val="44"/>
          <w:highlight w:val="none"/>
          <w:lang w:val="en-US" w:eastAsia="zh-CN"/>
        </w:rPr>
        <w:t>山东省人力资源和社会保障厅</w:t>
      </w:r>
    </w:p>
    <w:p>
      <w:pPr>
        <w:keepNext w:val="0"/>
        <w:keepLines w:val="0"/>
        <w:pageBreakBefore w:val="0"/>
        <w:widowControl w:val="0"/>
        <w:kinsoku/>
        <w:wordWrap/>
        <w:overflowPunct/>
        <w:topLinePunct w:val="0"/>
        <w:autoSpaceDE/>
        <w:autoSpaceDN/>
        <w:bidi w:val="0"/>
        <w:adjustRightInd/>
        <w:snapToGrid/>
        <w:spacing w:line="586"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r>
        <w:rPr>
          <w:rFonts w:hint="eastAsia" w:ascii="方正小标宋简体" w:hAnsi="方正小标宋简体" w:eastAsia="方正小标宋简体" w:cs="方正小标宋简体"/>
          <w:color w:val="auto"/>
          <w:sz w:val="44"/>
          <w:szCs w:val="44"/>
          <w:highlight w:val="none"/>
          <w:lang w:val="en-US" w:eastAsia="zh-CN"/>
        </w:rPr>
        <w:t>关于进一步规范技工院校办学行为的通知</w:t>
      </w:r>
    </w:p>
    <w:p>
      <w:pPr>
        <w:keepNext w:val="0"/>
        <w:keepLines w:val="0"/>
        <w:pageBreakBefore w:val="0"/>
        <w:widowControl w:val="0"/>
        <w:kinsoku/>
        <w:wordWrap/>
        <w:overflowPunct/>
        <w:topLinePunct w:val="0"/>
        <w:autoSpaceDE/>
        <w:autoSpaceDN/>
        <w:bidi w:val="0"/>
        <w:adjustRightInd/>
        <w:snapToGrid/>
        <w:spacing w:line="586" w:lineRule="exact"/>
        <w:jc w:val="center"/>
        <w:textAlignment w:val="auto"/>
        <w:rPr>
          <w:rFonts w:hint="eastAsia" w:ascii="楷体_GB2312" w:hAnsi="楷体_GB2312" w:eastAsia="楷体_GB2312" w:cs="楷体_GB2312"/>
          <w:color w:val="auto"/>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86" w:lineRule="exact"/>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各市人力资源社会保障局，省属技工院校：</w:t>
      </w:r>
    </w:p>
    <w:p>
      <w:pPr>
        <w:keepNext w:val="0"/>
        <w:keepLines w:val="0"/>
        <w:pageBreakBefore w:val="0"/>
        <w:widowControl w:val="0"/>
        <w:kinsoku/>
        <w:wordWrap/>
        <w:overflowPunct/>
        <w:topLinePunct w:val="0"/>
        <w:autoSpaceDE/>
        <w:autoSpaceDN/>
        <w:bidi w:val="0"/>
        <w:adjustRightInd/>
        <w:snapToGrid/>
        <w:spacing w:line="586" w:lineRule="exact"/>
        <w:ind w:firstLine="632"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为进一步加强全省技工院校管理，规范技工院校办学行为，提升技工院校管理的正规化、规范化水平，更好的维护和保障学生权益，现就有关事项通知如下。</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32" w:firstLineChars="200"/>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一、规范学籍管理</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32"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（一）夯实院校主体责任。</w:t>
      </w:r>
      <w:r>
        <w:rPr>
          <w:rFonts w:hint="eastAsia" w:ascii="仿宋_GB2312" w:hAnsi="仿宋_GB2312" w:eastAsia="仿宋_GB2312" w:cs="仿宋_GB2312"/>
          <w:color w:val="auto"/>
          <w:sz w:val="32"/>
          <w:szCs w:val="32"/>
          <w:highlight w:val="none"/>
          <w:lang w:val="en-US" w:eastAsia="zh-CN"/>
        </w:rPr>
        <w:t>各级人力资源社会保障部门要坚持“谁采集、谁负责；谁报送、谁负责；谁审核、谁负责”的原则，指导技工院校完善全国技工院校信息管理系统基础信息，按时</w:t>
      </w:r>
      <w:r>
        <w:rPr>
          <w:rFonts w:hint="eastAsia" w:ascii="仿宋_GB2312" w:hAnsi="仿宋_GB2312" w:eastAsia="仿宋_GB2312" w:cs="仿宋_GB2312"/>
          <w:color w:val="auto"/>
          <w:sz w:val="32"/>
          <w:szCs w:val="32"/>
          <w:highlight w:val="none"/>
          <w:lang w:val="en-US" w:eastAsia="zh-CN" w:bidi="ar"/>
        </w:rPr>
        <w:t>将学生信息</w:t>
      </w:r>
      <w:r>
        <w:rPr>
          <w:rFonts w:hint="eastAsia" w:ascii="仿宋_GB2312" w:hAnsi="仿宋_GB2312" w:eastAsia="仿宋_GB2312" w:cs="仿宋_GB2312"/>
          <w:color w:val="auto"/>
          <w:sz w:val="32"/>
          <w:szCs w:val="32"/>
          <w:highlight w:val="none"/>
          <w:lang w:bidi="ar"/>
        </w:rPr>
        <w:t>录入全国技工院校信息管理系统，由“校长用户”审核合格后，报上级业务主管部门审批</w:t>
      </w:r>
      <w:r>
        <w:rPr>
          <w:rFonts w:hint="eastAsia" w:ascii="仿宋_GB2312" w:hAnsi="仿宋_GB2312" w:eastAsia="仿宋_GB2312" w:cs="仿宋_GB2312"/>
          <w:color w:val="auto"/>
          <w:sz w:val="32"/>
          <w:szCs w:val="32"/>
          <w:highlight w:val="none"/>
          <w:lang w:eastAsia="zh-CN" w:bidi="ar"/>
        </w:rPr>
        <w:t>，</w:t>
      </w:r>
      <w:r>
        <w:rPr>
          <w:rFonts w:hint="eastAsia" w:ascii="仿宋_GB2312" w:hAnsi="仿宋_GB2312" w:eastAsia="仿宋_GB2312" w:cs="仿宋_GB2312"/>
          <w:color w:val="auto"/>
          <w:sz w:val="32"/>
          <w:szCs w:val="32"/>
          <w:highlight w:val="none"/>
          <w:lang w:val="en-US" w:eastAsia="zh-CN"/>
        </w:rPr>
        <w:t>确保学生信息数据真实准确、不重不漏。</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32"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（二）详细核实学生信息。</w:t>
      </w:r>
      <w:r>
        <w:rPr>
          <w:rFonts w:hint="eastAsia" w:ascii="仿宋_GB2312" w:hAnsi="仿宋_GB2312" w:eastAsia="仿宋_GB2312" w:cs="仿宋_GB2312"/>
          <w:color w:val="auto"/>
          <w:sz w:val="32"/>
          <w:szCs w:val="32"/>
          <w:highlight w:val="none"/>
          <w:lang w:val="en-US" w:eastAsia="zh-CN"/>
        </w:rPr>
        <w:t>各技工院校要在新生入学后，认真核实学生姓名、身份证号、户口性质、毕业院校、入学前学历、家庭经济状况等基本信息，</w:t>
      </w:r>
      <w:r>
        <w:rPr>
          <w:rFonts w:hint="eastAsia" w:ascii="仿宋_GB2312" w:hAnsi="仿宋_GB2312" w:eastAsia="仿宋_GB2312" w:cs="仿宋_GB2312"/>
          <w:color w:val="auto"/>
          <w:sz w:val="32"/>
          <w:szCs w:val="32"/>
          <w:highlight w:val="none"/>
          <w:lang w:bidi="ar"/>
        </w:rPr>
        <w:t>逐一审核学生入学前所获得的全日制学制教育毕业证书原件，准确填写毕业院校和入学前学历</w:t>
      </w:r>
      <w:r>
        <w:rPr>
          <w:rFonts w:hint="eastAsia" w:ascii="仿宋_GB2312" w:hAnsi="仿宋_GB2312" w:eastAsia="仿宋_GB2312" w:cs="仿宋_GB2312"/>
          <w:color w:val="auto"/>
          <w:sz w:val="32"/>
          <w:szCs w:val="32"/>
          <w:highlight w:val="none"/>
          <w:lang w:eastAsia="zh-CN" w:bidi="ar"/>
        </w:rPr>
        <w:t>。</w:t>
      </w:r>
      <w:r>
        <w:rPr>
          <w:rFonts w:hint="eastAsia" w:ascii="仿宋_GB2312" w:hAnsi="仿宋_GB2312" w:eastAsia="仿宋_GB2312" w:cs="仿宋_GB2312"/>
          <w:color w:val="auto"/>
          <w:sz w:val="32"/>
          <w:szCs w:val="32"/>
          <w:highlight w:val="none"/>
          <w:lang w:bidi="ar"/>
        </w:rPr>
        <w:t>分段注册学籍的，第二段学籍注册时要及时更新学生照片。</w:t>
      </w:r>
      <w:r>
        <w:rPr>
          <w:rFonts w:hint="eastAsia" w:ascii="仿宋_GB2312" w:hAnsi="仿宋_GB2312" w:eastAsia="仿宋_GB2312" w:cs="仿宋_GB2312"/>
          <w:color w:val="auto"/>
          <w:sz w:val="32"/>
          <w:szCs w:val="32"/>
          <w:highlight w:val="none"/>
          <w:lang w:val="en-US" w:eastAsia="zh-CN"/>
        </w:rPr>
        <w:t>各技工院校学籍系统注册完毕后，要导出数据填写《录取新生简明登记表》（附件1），报各级人力资源社会保障部门验印备案。</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32"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eastAsia="zh-CN" w:bidi="ar"/>
        </w:rPr>
        <w:t>（</w:t>
      </w:r>
      <w:r>
        <w:rPr>
          <w:rFonts w:hint="eastAsia" w:ascii="楷体_GB2312" w:hAnsi="楷体_GB2312" w:eastAsia="楷体_GB2312" w:cs="楷体_GB2312"/>
          <w:color w:val="auto"/>
          <w:sz w:val="32"/>
          <w:szCs w:val="32"/>
          <w:highlight w:val="none"/>
          <w:lang w:val="en-US" w:eastAsia="zh-CN" w:bidi="ar"/>
        </w:rPr>
        <w:t>三</w:t>
      </w:r>
      <w:r>
        <w:rPr>
          <w:rFonts w:hint="eastAsia" w:ascii="楷体_GB2312" w:hAnsi="楷体_GB2312" w:eastAsia="楷体_GB2312" w:cs="楷体_GB2312"/>
          <w:color w:val="auto"/>
          <w:sz w:val="32"/>
          <w:szCs w:val="32"/>
          <w:highlight w:val="none"/>
          <w:lang w:eastAsia="zh-CN" w:bidi="ar"/>
        </w:rPr>
        <w:t>）</w:t>
      </w:r>
      <w:r>
        <w:rPr>
          <w:rFonts w:hint="eastAsia" w:ascii="楷体_GB2312" w:hAnsi="楷体_GB2312" w:eastAsia="楷体_GB2312" w:cs="楷体_GB2312"/>
          <w:color w:val="auto"/>
          <w:sz w:val="32"/>
          <w:szCs w:val="32"/>
          <w:highlight w:val="none"/>
          <w:lang w:val="en-US" w:eastAsia="zh-CN" w:bidi="ar"/>
        </w:rPr>
        <w:t>建立学籍比对机制。</w:t>
      </w:r>
      <w:r>
        <w:rPr>
          <w:rFonts w:hint="default" w:ascii="仿宋_GB2312" w:hAnsi="仿宋_GB2312" w:eastAsia="仿宋_GB2312" w:cs="仿宋_GB2312"/>
          <w:color w:val="auto"/>
          <w:sz w:val="32"/>
          <w:szCs w:val="32"/>
          <w:highlight w:val="none"/>
          <w:lang w:val="en-US" w:eastAsia="zh-CN"/>
        </w:rPr>
        <w:t>各技工院校要建立学籍系统与实际就读学生信息比对机制，至少每</w:t>
      </w:r>
      <w:r>
        <w:rPr>
          <w:rFonts w:hint="eastAsia" w:ascii="仿宋_GB2312" w:hAnsi="仿宋_GB2312" w:eastAsia="仿宋_GB2312" w:cs="仿宋_GB2312"/>
          <w:color w:val="auto"/>
          <w:sz w:val="32"/>
          <w:szCs w:val="32"/>
          <w:highlight w:val="none"/>
          <w:lang w:val="en-US" w:eastAsia="zh-CN"/>
        </w:rPr>
        <w:t>季度</w:t>
      </w:r>
      <w:r>
        <w:rPr>
          <w:rFonts w:hint="default" w:ascii="仿宋_GB2312" w:hAnsi="仿宋_GB2312" w:eastAsia="仿宋_GB2312" w:cs="仿宋_GB2312"/>
          <w:color w:val="auto"/>
          <w:sz w:val="32"/>
          <w:szCs w:val="32"/>
          <w:highlight w:val="none"/>
          <w:lang w:val="en-US" w:eastAsia="zh-CN"/>
        </w:rPr>
        <w:t>全面比对一次，作为保证学籍信息准确的“关键环节”，杜绝长期空挂学籍问题。</w:t>
      </w:r>
      <w:r>
        <w:rPr>
          <w:rFonts w:hint="eastAsia" w:ascii="仿宋_GB2312" w:hAnsi="仿宋_GB2312" w:eastAsia="仿宋_GB2312" w:cs="仿宋_GB2312"/>
          <w:color w:val="auto"/>
          <w:sz w:val="32"/>
          <w:szCs w:val="32"/>
          <w:highlight w:val="none"/>
          <w:lang w:val="en-US" w:eastAsia="zh-CN"/>
        </w:rPr>
        <w:t>要按照学籍管理有关规定，对休学、退学、转学、复学的学生认真进行核实</w:t>
      </w:r>
      <w:r>
        <w:rPr>
          <w:rFonts w:hint="eastAsia" w:ascii="仿宋_GB2312" w:hAnsi="仿宋_GB2312" w:eastAsia="仿宋_GB2312" w:cs="仿宋_GB2312"/>
          <w:color w:val="auto"/>
          <w:sz w:val="32"/>
          <w:szCs w:val="32"/>
          <w:highlight w:val="none"/>
        </w:rPr>
        <w:t>，及时办理相关手续，</w:t>
      </w:r>
      <w:r>
        <w:rPr>
          <w:rFonts w:hint="eastAsia" w:ascii="仿宋_GB2312" w:hAnsi="仿宋_GB2312" w:eastAsia="仿宋_GB2312" w:cs="仿宋_GB2312"/>
          <w:color w:val="auto"/>
          <w:sz w:val="32"/>
          <w:szCs w:val="32"/>
          <w:highlight w:val="none"/>
          <w:lang w:val="en-US" w:eastAsia="zh-CN"/>
        </w:rPr>
        <w:t>并于确定学籍异动之日起10日内在学籍系统中进行异动申报，做到学生学籍信息更新及时、真实有效。</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32" w:firstLineChars="200"/>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二、规范校企合作</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32"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（一）明确校企合作办学范畴。</w:t>
      </w:r>
      <w:r>
        <w:rPr>
          <w:rFonts w:hint="eastAsia" w:ascii="仿宋_GB2312" w:hAnsi="仿宋_GB2312" w:eastAsia="仿宋_GB2312" w:cs="仿宋_GB2312"/>
          <w:color w:val="auto"/>
          <w:sz w:val="32"/>
          <w:szCs w:val="32"/>
          <w:highlight w:val="none"/>
          <w:lang w:val="en-US" w:eastAsia="zh-CN"/>
        </w:rPr>
        <w:t>按照省教育厅、省人力资源社会保障厅等部门联合印发的《山东省职业学校校企合作促进办法》《关于推进职业院校混合所有制办学的指导意见（试行）》，我省各级各类技工院校与企业以共同育人、合作研究、共建机构、共享资源等方式，合作开展的校企“订单班”“定向班”“委培班”办学行为，以及与企业合作开展混合所有制办学行为，属于校企合作办学范畴。</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32"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（二）注重开展可行性分析。</w:t>
      </w:r>
      <w:r>
        <w:rPr>
          <w:rFonts w:hint="eastAsia" w:ascii="仿宋_GB2312" w:hAnsi="仿宋_GB2312" w:eastAsia="仿宋_GB2312" w:cs="仿宋_GB2312"/>
          <w:color w:val="auto"/>
          <w:sz w:val="32"/>
          <w:szCs w:val="32"/>
          <w:highlight w:val="none"/>
          <w:lang w:val="en-US" w:eastAsia="zh-CN"/>
        </w:rPr>
        <w:t>各技工院校在确定合作企业前，除评估必要的教学条件外，还要认真了解考察合作方的诚信、社会责任、管理水平等条件，根据考察结果由学校集体研究决定是否开展合作。研究确定开展合作的，合作双方应签订合作协议，明确各方的责任、权利和义务。</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32"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（三）严格落实学生管理主体责任。</w:t>
      </w:r>
      <w:r>
        <w:rPr>
          <w:rFonts w:hint="eastAsia" w:ascii="仿宋_GB2312" w:hAnsi="仿宋_GB2312" w:eastAsia="仿宋_GB2312" w:cs="仿宋_GB2312"/>
          <w:color w:val="auto"/>
          <w:sz w:val="32"/>
          <w:szCs w:val="32"/>
          <w:highlight w:val="none"/>
          <w:lang w:val="en-US" w:eastAsia="zh-CN"/>
        </w:rPr>
        <w:t>校企合作过程中，学校要承担招生就业管理、教学管理、实习管理、安全管理、师资管理和学生管理等方面的主体责任;同时要督促合作企业按协议内容履行职责，履责不到位的要建立退出机制。学校不得将学生委托给合作企业或其他机构进行培养和管理，也不得以任何形式将学生培养变相转包、分包给合作企业（含合作企业授权的第三方）。</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32" w:firstLineChars="200"/>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三、规范办学收费</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32" w:firstLineChars="200"/>
        <w:textAlignment w:val="auto"/>
        <w:rPr>
          <w:rFonts w:hint="eastAsia" w:ascii="仿宋_GB2312" w:hAnsi="仿宋_GB2312" w:eastAsia="仿宋_GB2312" w:cs="仿宋_GB2312"/>
          <w:color w:val="auto"/>
          <w:sz w:val="32"/>
          <w:szCs w:val="32"/>
          <w:highlight w:val="none"/>
          <w:lang w:val="en-US" w:eastAsia="zh-CN" w:bidi="ar"/>
        </w:rPr>
      </w:pPr>
      <w:r>
        <w:rPr>
          <w:rFonts w:hint="eastAsia" w:ascii="楷体_GB2312" w:hAnsi="楷体_GB2312" w:eastAsia="楷体_GB2312" w:cs="楷体_GB2312"/>
          <w:color w:val="auto"/>
          <w:sz w:val="32"/>
          <w:szCs w:val="32"/>
          <w:highlight w:val="none"/>
          <w:lang w:eastAsia="zh-CN" w:bidi="ar"/>
        </w:rPr>
        <w:t>（</w:t>
      </w:r>
      <w:r>
        <w:rPr>
          <w:rFonts w:hint="eastAsia" w:ascii="楷体_GB2312" w:hAnsi="楷体_GB2312" w:eastAsia="楷体_GB2312" w:cs="楷体_GB2312"/>
          <w:color w:val="auto"/>
          <w:sz w:val="32"/>
          <w:szCs w:val="32"/>
          <w:highlight w:val="none"/>
          <w:lang w:val="en-US" w:eastAsia="zh-CN" w:bidi="ar"/>
        </w:rPr>
        <w:t>一</w:t>
      </w:r>
      <w:r>
        <w:rPr>
          <w:rFonts w:hint="eastAsia" w:ascii="楷体_GB2312" w:hAnsi="楷体_GB2312" w:eastAsia="楷体_GB2312" w:cs="楷体_GB2312"/>
          <w:color w:val="auto"/>
          <w:sz w:val="32"/>
          <w:szCs w:val="32"/>
          <w:highlight w:val="none"/>
          <w:lang w:eastAsia="zh-CN" w:bidi="ar"/>
        </w:rPr>
        <w:t>）</w:t>
      </w:r>
      <w:r>
        <w:rPr>
          <w:rFonts w:hint="eastAsia" w:ascii="楷体_GB2312" w:hAnsi="楷体_GB2312" w:eastAsia="楷体_GB2312" w:cs="楷体_GB2312"/>
          <w:color w:val="auto"/>
          <w:sz w:val="32"/>
          <w:szCs w:val="32"/>
          <w:highlight w:val="none"/>
          <w:lang w:val="en-US" w:eastAsia="zh-CN" w:bidi="ar"/>
        </w:rPr>
        <w:t>严格执行收费政策。</w:t>
      </w:r>
      <w:r>
        <w:rPr>
          <w:rFonts w:hint="eastAsia" w:ascii="仿宋_GB2312" w:hAnsi="仿宋_GB2312" w:eastAsia="仿宋_GB2312" w:cs="仿宋_GB2312"/>
          <w:color w:val="auto"/>
          <w:sz w:val="32"/>
          <w:szCs w:val="32"/>
          <w:highlight w:val="none"/>
          <w:lang w:bidi="ar"/>
        </w:rPr>
        <w:t>各技工院校要严格按照国家和省、市规定的收费政策、收费项目及标准收取费用</w:t>
      </w:r>
      <w:r>
        <w:rPr>
          <w:rFonts w:hint="eastAsia" w:ascii="仿宋_GB2312" w:hAnsi="仿宋_GB2312" w:eastAsia="仿宋_GB2312" w:cs="仿宋_GB2312"/>
          <w:color w:val="auto"/>
          <w:sz w:val="32"/>
          <w:szCs w:val="32"/>
          <w:highlight w:val="none"/>
          <w:lang w:eastAsia="zh-CN" w:bidi="ar"/>
        </w:rPr>
        <w:t>。</w:t>
      </w:r>
      <w:r>
        <w:rPr>
          <w:rFonts w:hint="eastAsia" w:ascii="仿宋_GB2312" w:hAnsi="仿宋_GB2312" w:eastAsia="仿宋_GB2312" w:cs="仿宋_GB2312"/>
          <w:color w:val="auto"/>
          <w:sz w:val="32"/>
          <w:szCs w:val="32"/>
          <w:highlight w:val="none"/>
          <w:lang w:val="en-US" w:eastAsia="zh-CN"/>
        </w:rPr>
        <w:t>要组织新入学学生签署《技工院校学生资助政策学习明白纸》（附件2），向学生如实介绍学校办学性质、收费标准、资助政策。</w:t>
      </w:r>
      <w:r>
        <w:rPr>
          <w:rFonts w:hint="eastAsia" w:ascii="仿宋_GB2312" w:hAnsi="仿宋_GB2312" w:eastAsia="仿宋_GB2312" w:cs="仿宋_GB2312"/>
          <w:color w:val="auto"/>
          <w:sz w:val="32"/>
          <w:szCs w:val="32"/>
          <w:highlight w:val="none"/>
          <w:lang w:val="en-US" w:eastAsia="zh-CN" w:bidi="ar"/>
        </w:rPr>
        <w:t>公办技工院校要严格执行免学费政策。民办技工院校按照当地公办技工院校标准免除学费后，学费标准高于公办学校的部分，学校可以按规定继续向学生收取学费；不得跨学年（期）预收学费。学校不得以推荐实习、包就业等任何名目收取学费，不得与他人通过协议方式约定收费或代他人收取学费，也不得利用本校生源助力他人收取学费。</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32" w:firstLineChars="200"/>
        <w:textAlignment w:val="auto"/>
        <w:rPr>
          <w:rFonts w:hint="eastAsia" w:ascii="仿宋_GB2312" w:hAnsi="仿宋_GB2312" w:eastAsia="仿宋_GB2312" w:cs="仿宋_GB2312"/>
          <w:color w:val="auto"/>
          <w:sz w:val="32"/>
          <w:szCs w:val="32"/>
          <w:highlight w:val="none"/>
          <w:lang w:val="en-US" w:eastAsia="zh-CN" w:bidi="ar"/>
        </w:rPr>
      </w:pPr>
      <w:r>
        <w:rPr>
          <w:rFonts w:hint="eastAsia" w:ascii="楷体_GB2312" w:hAnsi="楷体_GB2312" w:eastAsia="楷体_GB2312" w:cs="楷体_GB2312"/>
          <w:color w:val="auto"/>
          <w:sz w:val="32"/>
          <w:szCs w:val="32"/>
          <w:highlight w:val="none"/>
          <w:lang w:eastAsia="zh-CN" w:bidi="ar"/>
        </w:rPr>
        <w:t>（</w:t>
      </w:r>
      <w:r>
        <w:rPr>
          <w:rFonts w:hint="eastAsia" w:ascii="楷体_GB2312" w:hAnsi="楷体_GB2312" w:eastAsia="楷体_GB2312" w:cs="楷体_GB2312"/>
          <w:color w:val="auto"/>
          <w:sz w:val="32"/>
          <w:szCs w:val="32"/>
          <w:highlight w:val="none"/>
          <w:lang w:val="en-US" w:eastAsia="zh-CN" w:bidi="ar"/>
        </w:rPr>
        <w:t>二</w:t>
      </w:r>
      <w:r>
        <w:rPr>
          <w:rFonts w:hint="eastAsia" w:ascii="楷体_GB2312" w:hAnsi="楷体_GB2312" w:eastAsia="楷体_GB2312" w:cs="楷体_GB2312"/>
          <w:color w:val="auto"/>
          <w:sz w:val="32"/>
          <w:szCs w:val="32"/>
          <w:highlight w:val="none"/>
          <w:lang w:eastAsia="zh-CN" w:bidi="ar"/>
        </w:rPr>
        <w:t>）</w:t>
      </w:r>
      <w:r>
        <w:rPr>
          <w:rFonts w:hint="eastAsia" w:ascii="楷体_GB2312" w:hAnsi="楷体_GB2312" w:eastAsia="楷体_GB2312" w:cs="楷体_GB2312"/>
          <w:color w:val="auto"/>
          <w:sz w:val="32"/>
          <w:szCs w:val="32"/>
          <w:highlight w:val="none"/>
          <w:lang w:val="en-US" w:eastAsia="zh-CN" w:bidi="ar"/>
        </w:rPr>
        <w:t>做好收费、退费公示。</w:t>
      </w:r>
      <w:r>
        <w:rPr>
          <w:rFonts w:hint="eastAsia" w:ascii="仿宋_GB2312" w:hAnsi="仿宋_GB2312" w:eastAsia="仿宋_GB2312" w:cs="仿宋_GB2312"/>
          <w:color w:val="auto"/>
          <w:sz w:val="32"/>
          <w:szCs w:val="32"/>
          <w:highlight w:val="none"/>
          <w:lang w:eastAsia="zh-CN" w:bidi="ar"/>
        </w:rPr>
        <w:t>各技工院校要严格执行</w:t>
      </w:r>
      <w:r>
        <w:rPr>
          <w:rFonts w:hint="eastAsia" w:ascii="仿宋_GB2312" w:hAnsi="仿宋_GB2312" w:eastAsia="仿宋_GB2312" w:cs="仿宋_GB2312"/>
          <w:color w:val="auto"/>
          <w:sz w:val="32"/>
          <w:szCs w:val="32"/>
          <w:highlight w:val="none"/>
          <w:lang w:bidi="ar"/>
        </w:rPr>
        <w:t>收费</w:t>
      </w:r>
      <w:r>
        <w:rPr>
          <w:rFonts w:hint="eastAsia" w:ascii="仿宋_GB2312" w:hAnsi="仿宋_GB2312" w:eastAsia="仿宋_GB2312" w:cs="仿宋_GB2312"/>
          <w:color w:val="auto"/>
          <w:sz w:val="32"/>
          <w:szCs w:val="32"/>
          <w:highlight w:val="none"/>
          <w:lang w:eastAsia="zh-CN" w:bidi="ar"/>
        </w:rPr>
        <w:t>、</w:t>
      </w:r>
      <w:r>
        <w:rPr>
          <w:rFonts w:hint="eastAsia" w:ascii="仿宋_GB2312" w:hAnsi="仿宋_GB2312" w:eastAsia="仿宋_GB2312" w:cs="仿宋_GB2312"/>
          <w:color w:val="auto"/>
          <w:sz w:val="32"/>
          <w:szCs w:val="32"/>
          <w:highlight w:val="none"/>
          <w:lang w:val="en-US" w:eastAsia="zh-CN" w:bidi="ar"/>
        </w:rPr>
        <w:t>退费</w:t>
      </w:r>
      <w:r>
        <w:rPr>
          <w:rFonts w:hint="eastAsia" w:ascii="仿宋_GB2312" w:hAnsi="仿宋_GB2312" w:eastAsia="仿宋_GB2312" w:cs="仿宋_GB2312"/>
          <w:color w:val="auto"/>
          <w:sz w:val="32"/>
          <w:szCs w:val="32"/>
          <w:highlight w:val="none"/>
          <w:lang w:bidi="ar"/>
        </w:rPr>
        <w:t>公示制度，</w:t>
      </w:r>
      <w:r>
        <w:rPr>
          <w:rFonts w:hint="eastAsia" w:ascii="仿宋_GB2312" w:hAnsi="仿宋_GB2312" w:eastAsia="仿宋_GB2312" w:cs="仿宋_GB2312"/>
          <w:color w:val="auto"/>
          <w:sz w:val="32"/>
          <w:szCs w:val="32"/>
          <w:highlight w:val="none"/>
          <w:lang w:eastAsia="zh-Hans" w:bidi="ar"/>
        </w:rPr>
        <w:t>在</w:t>
      </w:r>
      <w:r>
        <w:rPr>
          <w:rFonts w:hint="eastAsia" w:ascii="仿宋_GB2312" w:hAnsi="仿宋_GB2312" w:eastAsia="仿宋_GB2312" w:cs="仿宋_GB2312"/>
          <w:color w:val="auto"/>
          <w:sz w:val="32"/>
          <w:szCs w:val="32"/>
          <w:highlight w:val="none"/>
          <w:lang w:bidi="ar"/>
        </w:rPr>
        <w:t>门户网站、收费场所、招生简章等</w:t>
      </w:r>
      <w:r>
        <w:rPr>
          <w:rFonts w:hint="eastAsia" w:ascii="仿宋_GB2312" w:hAnsi="仿宋_GB2312" w:eastAsia="仿宋_GB2312" w:cs="仿宋_GB2312"/>
          <w:color w:val="auto"/>
          <w:sz w:val="32"/>
          <w:szCs w:val="32"/>
          <w:highlight w:val="none"/>
          <w:lang w:eastAsia="zh-Hans" w:bidi="ar"/>
        </w:rPr>
        <w:t>醒目地方</w:t>
      </w:r>
      <w:r>
        <w:rPr>
          <w:rFonts w:hint="eastAsia" w:ascii="仿宋_GB2312" w:hAnsi="仿宋_GB2312" w:eastAsia="仿宋_GB2312" w:cs="仿宋_GB2312"/>
          <w:color w:val="auto"/>
          <w:sz w:val="32"/>
          <w:szCs w:val="32"/>
          <w:highlight w:val="none"/>
          <w:lang w:bidi="ar"/>
        </w:rPr>
        <w:t>公示收费项目、标准、依据</w:t>
      </w:r>
      <w:r>
        <w:rPr>
          <w:rFonts w:hint="eastAsia" w:ascii="仿宋_GB2312" w:hAnsi="仿宋_GB2312" w:eastAsia="仿宋_GB2312" w:cs="仿宋_GB2312"/>
          <w:color w:val="auto"/>
          <w:sz w:val="32"/>
          <w:szCs w:val="32"/>
          <w:highlight w:val="none"/>
          <w:lang w:val="en-US" w:eastAsia="zh-CN" w:bidi="ar"/>
        </w:rPr>
        <w:t>和退费标准</w:t>
      </w:r>
      <w:r>
        <w:rPr>
          <w:rFonts w:ascii="仿宋_GB2312" w:hAnsi="仿宋_GB2312" w:eastAsia="仿宋_GB2312" w:cs="仿宋_GB2312"/>
          <w:color w:val="auto"/>
          <w:sz w:val="32"/>
          <w:szCs w:val="32"/>
          <w:highlight w:val="none"/>
          <w:lang w:bidi="ar"/>
        </w:rPr>
        <w:t>。</w:t>
      </w:r>
      <w:r>
        <w:rPr>
          <w:rFonts w:hint="eastAsia" w:ascii="仿宋_GB2312" w:hAnsi="仿宋_GB2312" w:eastAsia="仿宋_GB2312" w:cs="仿宋_GB2312"/>
          <w:color w:val="auto"/>
          <w:sz w:val="32"/>
          <w:szCs w:val="32"/>
          <w:highlight w:val="none"/>
          <w:lang w:bidi="ar"/>
        </w:rPr>
        <w:t>对经批准允许收取的住宿费等服务性收费项目和代收费项目</w:t>
      </w:r>
      <w:r>
        <w:rPr>
          <w:rFonts w:hint="eastAsia" w:ascii="仿宋_GB2312" w:hAnsi="仿宋_GB2312" w:eastAsia="仿宋_GB2312" w:cs="仿宋_GB2312"/>
          <w:color w:val="auto"/>
          <w:sz w:val="32"/>
          <w:szCs w:val="32"/>
          <w:highlight w:val="none"/>
          <w:lang w:eastAsia="zh-CN" w:bidi="ar"/>
        </w:rPr>
        <w:t>，</w:t>
      </w:r>
      <w:r>
        <w:rPr>
          <w:rFonts w:hint="eastAsia" w:ascii="仿宋_GB2312" w:hAnsi="仿宋_GB2312" w:eastAsia="仿宋_GB2312" w:cs="仿宋_GB2312"/>
          <w:color w:val="auto"/>
          <w:sz w:val="32"/>
          <w:szCs w:val="32"/>
          <w:highlight w:val="none"/>
          <w:lang w:bidi="ar"/>
        </w:rPr>
        <w:t>坚持学生自愿和非营利性原则，即时发生，即时收取，据实结算，多退少补。服务性收费项目应在开学前一次性告知学生及家长。服务性收费和代收费项目不得跨学年（期）预收和结算。对贫困学生有学费减免和其他资助</w:t>
      </w:r>
      <w:r>
        <w:rPr>
          <w:rFonts w:hint="eastAsia" w:ascii="仿宋_GB2312" w:hAnsi="仿宋_GB2312" w:eastAsia="仿宋_GB2312" w:cs="仿宋_GB2312"/>
          <w:color w:val="auto"/>
          <w:sz w:val="32"/>
          <w:szCs w:val="32"/>
          <w:highlight w:val="none"/>
          <w:lang w:eastAsia="zh-Hans" w:bidi="ar"/>
        </w:rPr>
        <w:t>政策</w:t>
      </w:r>
      <w:r>
        <w:rPr>
          <w:rFonts w:hint="eastAsia" w:ascii="仿宋_GB2312" w:hAnsi="仿宋_GB2312" w:eastAsia="仿宋_GB2312" w:cs="仿宋_GB2312"/>
          <w:color w:val="auto"/>
          <w:sz w:val="32"/>
          <w:szCs w:val="32"/>
          <w:highlight w:val="none"/>
          <w:lang w:bidi="ar"/>
        </w:rPr>
        <w:t>的</w:t>
      </w:r>
      <w:r>
        <w:rPr>
          <w:rFonts w:hint="eastAsia" w:ascii="仿宋_GB2312" w:hAnsi="仿宋_GB2312" w:eastAsia="仿宋_GB2312" w:cs="仿宋_GB2312"/>
          <w:color w:val="auto"/>
          <w:sz w:val="32"/>
          <w:szCs w:val="32"/>
          <w:highlight w:val="none"/>
          <w:lang w:val="en-US" w:eastAsia="zh-CN" w:bidi="ar"/>
        </w:rPr>
        <w:t>应</w:t>
      </w:r>
      <w:r>
        <w:rPr>
          <w:rFonts w:hint="eastAsia" w:ascii="仿宋_GB2312" w:hAnsi="仿宋_GB2312" w:eastAsia="仿宋_GB2312" w:cs="仿宋_GB2312"/>
          <w:color w:val="auto"/>
          <w:sz w:val="32"/>
          <w:szCs w:val="32"/>
          <w:highlight w:val="none"/>
          <w:lang w:bidi="ar"/>
        </w:rPr>
        <w:t>一并公示，主动接受学生、家长和社会</w:t>
      </w:r>
      <w:r>
        <w:rPr>
          <w:rFonts w:hint="eastAsia" w:ascii="仿宋_GB2312" w:hAnsi="仿宋_GB2312" w:eastAsia="仿宋_GB2312" w:cs="仿宋_GB2312"/>
          <w:color w:val="auto"/>
          <w:sz w:val="32"/>
          <w:szCs w:val="32"/>
          <w:highlight w:val="none"/>
          <w:lang w:eastAsia="zh-Hans" w:bidi="ar"/>
        </w:rPr>
        <w:t>的</w:t>
      </w:r>
      <w:r>
        <w:rPr>
          <w:rFonts w:hint="eastAsia" w:ascii="仿宋_GB2312" w:hAnsi="仿宋_GB2312" w:eastAsia="仿宋_GB2312" w:cs="仿宋_GB2312"/>
          <w:color w:val="auto"/>
          <w:sz w:val="32"/>
          <w:szCs w:val="32"/>
          <w:highlight w:val="none"/>
          <w:lang w:bidi="ar"/>
        </w:rPr>
        <w:t>监督。学校不得在公示的收费项目、收费标准之外加收其他费用，也不得后期追加收费，学生有权拒绝缴纳未经公示的其他费用。</w:t>
      </w:r>
      <w:r>
        <w:rPr>
          <w:rFonts w:hint="eastAsia" w:ascii="仿宋_GB2312" w:hAnsi="仿宋_GB2312" w:eastAsia="仿宋_GB2312" w:cs="仿宋_GB2312"/>
          <w:color w:val="auto"/>
          <w:sz w:val="32"/>
          <w:szCs w:val="32"/>
          <w:highlight w:val="none"/>
          <w:lang w:val="en-US" w:eastAsia="zh-CN" w:bidi="ar"/>
        </w:rPr>
        <w:t>学校收费标准调整应实行“新生新办法、老生老办法”，每届学生学制内不得随意提高收费标准。</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32" w:firstLineChars="200"/>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四、规范招生宣传</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32" w:firstLineChars="200"/>
        <w:textAlignment w:val="auto"/>
        <w:rPr>
          <w:rFonts w:hint="eastAsia" w:ascii="仿宋_GB2312" w:hAnsi="仿宋_GB2312" w:eastAsia="仿宋_GB2312" w:cs="仿宋_GB2312"/>
          <w:color w:val="auto"/>
          <w:sz w:val="32"/>
          <w:szCs w:val="32"/>
          <w:highlight w:val="none"/>
          <w:lang w:val="en-US" w:eastAsia="zh-CN" w:bidi="ar"/>
        </w:rPr>
      </w:pPr>
      <w:r>
        <w:rPr>
          <w:rFonts w:hint="eastAsia" w:ascii="仿宋_GB2312" w:hAnsi="仿宋_GB2312" w:eastAsia="仿宋_GB2312" w:cs="仿宋_GB2312"/>
          <w:color w:val="auto"/>
          <w:sz w:val="32"/>
          <w:szCs w:val="32"/>
          <w:highlight w:val="none"/>
          <w:lang w:val="en-US" w:eastAsia="zh-CN" w:bidi="ar"/>
        </w:rPr>
        <w:t>各级人力资源社会保障部门要加强技工院校招生简章和广告检查力度，规范技工院校招生宣传，杜绝夸大、虚假宣传行为。各技工院校发布招生简章和广告前，应将招生简章和广告按隶属关系报同级人力资源社会保障部门备案，备案后方可对外宣传。一个院校每个招生年度只能制定一个招生简章，不得使用不同版本招生简章规避监管和违规宣传。各级人力资源社会保障部门要通过发布招生资质、“双随机一公开”检查等方式，加强对各技工院校招生宣传的监管。</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32" w:firstLineChars="200"/>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五、规范实习管理</w:t>
      </w:r>
    </w:p>
    <w:p>
      <w:pPr>
        <w:keepNext w:val="0"/>
        <w:keepLines w:val="0"/>
        <w:pageBreakBefore w:val="0"/>
        <w:widowControl w:val="0"/>
        <w:kinsoku/>
        <w:wordWrap/>
        <w:overflowPunct/>
        <w:topLinePunct w:val="0"/>
        <w:autoSpaceDE/>
        <w:autoSpaceDN/>
        <w:bidi w:val="0"/>
        <w:adjustRightInd/>
        <w:snapToGrid/>
        <w:spacing w:line="586" w:lineRule="exact"/>
        <w:ind w:firstLine="632"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各级人力资源社会保障部门要加强技工院校实习管理，监督指导技工院校按照《教育部等八部门关于印发＜职业学校学生实习管理规定＞的通知》（教职成〔2021〕4号）要求组织开展实习。各技工院校要按照教学计划组织学生实习，实习前将实习协议、实习方案及实习人员名单报学校教务管理部门备案。技工院校组织学生跨省实习的，要提前2周将实习协议、实习方案及实习学生名单报设区的各市人力资源社会保障局备案，省属院校同时报省厅备案。技工院校安排学生赴国 (境)外实习的,应当事先经学校主管部门同意,按程序报省厅备案，并得到出国境管理部门同意。</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32" w:firstLineChars="200"/>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六、规范教学分支机构设立</w:t>
      </w:r>
    </w:p>
    <w:p>
      <w:pPr>
        <w:keepNext w:val="0"/>
        <w:keepLines w:val="0"/>
        <w:pageBreakBefore w:val="0"/>
        <w:widowControl w:val="0"/>
        <w:kinsoku/>
        <w:wordWrap/>
        <w:overflowPunct/>
        <w:topLinePunct w:val="0"/>
        <w:autoSpaceDE/>
        <w:autoSpaceDN/>
        <w:bidi w:val="0"/>
        <w:adjustRightInd/>
        <w:snapToGrid/>
        <w:spacing w:line="586" w:lineRule="exact"/>
        <w:ind w:firstLine="632"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各技工院校要按照《山东省技工院校校外教学点管理办法（试行）》的要求申请设立教学点。各级人力资源社会保障部门要严格按照有关要求对申请设立的教学点进行审查评估，确保办学条件达标，满足人才培养、实习实训、后勤保障、安全生产等各方面的需要。各技工院校不得跨设区的市申请设立教学点。</w:t>
      </w:r>
    </w:p>
    <w:p>
      <w:pPr>
        <w:keepNext w:val="0"/>
        <w:keepLines w:val="0"/>
        <w:pageBreakBefore w:val="0"/>
        <w:widowControl w:val="0"/>
        <w:kinsoku/>
        <w:wordWrap/>
        <w:overflowPunct/>
        <w:topLinePunct w:val="0"/>
        <w:autoSpaceDE/>
        <w:autoSpaceDN/>
        <w:bidi w:val="0"/>
        <w:adjustRightInd/>
        <w:snapToGrid/>
        <w:spacing w:line="586" w:lineRule="exact"/>
        <w:ind w:firstLine="632"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根据《中华人民共和国民办教育促进法》规定，技工院校申请设立分校（含申请跨设区的市设立）的，应在技工院校（含举办者）自有产权的土地及不动产上设立。按照技工院校审批设立标准程序，经申报、考察、评估并征求设区的市人力资源社会保障局意见后，由省人力资源社会保障厅审批。</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4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联系人：于金  </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4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联系电话：0531-51788150</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40"/>
        <w:textAlignment w:val="auto"/>
        <w:rPr>
          <w:rFonts w:hint="eastAsia" w:ascii="仿宋_GB2312" w:hAnsi="仿宋_GB2312" w:eastAsia="仿宋_GB2312" w:cs="仿宋_GB2312"/>
          <w:color w:val="auto"/>
          <w:sz w:val="32"/>
          <w:szCs w:val="32"/>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640"/>
        <w:textAlignment w:val="auto"/>
        <w:rPr>
          <w:rFonts w:hint="default" w:ascii="仿宋_GB2312" w:hAnsi="仿宋_GB2312" w:eastAsia="仿宋_GB2312" w:cs="仿宋_GB2312"/>
          <w:color w:val="auto"/>
          <w:sz w:val="32"/>
          <w:szCs w:val="32"/>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4108" w:firstLineChars="13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山东省人力资源和社会保障厅</w:t>
      </w:r>
    </w:p>
    <w:p>
      <w:pPr>
        <w:keepNext w:val="0"/>
        <w:keepLines w:val="0"/>
        <w:pageBreakBefore w:val="0"/>
        <w:widowControl w:val="0"/>
        <w:numPr>
          <w:ilvl w:val="0"/>
          <w:numId w:val="0"/>
        </w:numPr>
        <w:kinsoku/>
        <w:wordWrap/>
        <w:overflowPunct/>
        <w:topLinePunct w:val="0"/>
        <w:autoSpaceDE/>
        <w:autoSpaceDN/>
        <w:bidi w:val="0"/>
        <w:adjustRightInd/>
        <w:snapToGrid/>
        <w:spacing w:line="586" w:lineRule="exact"/>
        <w:ind w:firstLine="5062" w:firstLineChars="1602"/>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2024年4月15日</w:t>
      </w:r>
    </w:p>
    <w:p>
      <w:pPr>
        <w:keepNext w:val="0"/>
        <w:keepLines w:val="0"/>
        <w:pageBreakBefore w:val="0"/>
        <w:widowControl w:val="0"/>
        <w:kinsoku/>
        <w:wordWrap/>
        <w:overflowPunct/>
        <w:topLinePunct w:val="0"/>
        <w:autoSpaceDE/>
        <w:autoSpaceDN/>
        <w:bidi w:val="0"/>
        <w:adjustRightInd/>
        <w:snapToGrid/>
        <w:spacing w:line="586" w:lineRule="exact"/>
        <w:ind w:firstLine="632"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（此件主动公开）</w:t>
      </w:r>
    </w:p>
    <w:p>
      <w:pPr>
        <w:keepNext w:val="0"/>
        <w:keepLines w:val="0"/>
        <w:pageBreakBefore w:val="0"/>
        <w:widowControl w:val="0"/>
        <w:kinsoku/>
        <w:wordWrap/>
        <w:overflowPunct/>
        <w:topLinePunct w:val="0"/>
        <w:autoSpaceDE/>
        <w:autoSpaceDN/>
        <w:bidi w:val="0"/>
        <w:adjustRightInd/>
        <w:snapToGrid/>
        <w:spacing w:line="586" w:lineRule="exact"/>
        <w:ind w:firstLine="632" w:firstLineChars="200"/>
        <w:textAlignment w:val="auto"/>
        <w:rPr>
          <w:rFonts w:hint="default" w:ascii="仿宋_GB2312" w:hAnsi="仿宋_GB2312" w:eastAsia="仿宋_GB2312" w:cs="仿宋_GB2312"/>
          <w:color w:val="auto"/>
          <w:sz w:val="32"/>
          <w:szCs w:val="32"/>
          <w:highlight w:val="none"/>
          <w:lang w:eastAsia="zh-CN"/>
        </w:rPr>
      </w:pPr>
      <w:r>
        <w:rPr>
          <w:rFonts w:hint="default" w:ascii="仿宋_GB2312" w:hAnsi="仿宋_GB2312" w:eastAsia="仿宋_GB2312" w:cs="仿宋_GB2312"/>
          <w:color w:val="auto"/>
          <w:sz w:val="32"/>
          <w:szCs w:val="32"/>
          <w:highlight w:val="none"/>
          <w:lang w:eastAsia="zh-CN"/>
        </w:rPr>
        <w:t>（联系单位：职业能力处）</w:t>
      </w:r>
    </w:p>
    <w:p>
      <w:pPr>
        <w:rPr>
          <w:rFonts w:hint="default" w:ascii="仿宋_GB2312" w:hAnsi="仿宋_GB2312" w:eastAsia="仿宋_GB2312" w:cs="仿宋_GB2312"/>
          <w:color w:val="auto"/>
          <w:sz w:val="32"/>
          <w:szCs w:val="32"/>
          <w:highlight w:val="none"/>
          <w:lang w:eastAsia="zh-CN"/>
        </w:rPr>
      </w:pPr>
    </w:p>
    <w:p>
      <w:pPr>
        <w:rPr>
          <w:rFonts w:hint="default" w:ascii="仿宋_GB2312" w:hAnsi="仿宋_GB2312" w:eastAsia="仿宋_GB2312" w:cs="仿宋_GB2312"/>
          <w:color w:val="auto"/>
          <w:sz w:val="32"/>
          <w:szCs w:val="32"/>
          <w:highlight w:val="none"/>
          <w:lang w:eastAsia="zh-CN"/>
        </w:rPr>
        <w:sectPr>
          <w:pgSz w:w="11906" w:h="16838"/>
          <w:pgMar w:top="2098" w:right="1531" w:bottom="1814" w:left="1531" w:header="851" w:footer="1587" w:gutter="0"/>
          <w:cols w:space="0" w:num="1"/>
          <w:rtlGutter w:val="0"/>
          <w:docGrid w:type="linesAndChars" w:linePitch="587" w:charSpace="-849"/>
        </w:sectPr>
      </w:pPr>
    </w:p>
    <w:p>
      <w:pPr>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附件1</w:t>
      </w:r>
    </w:p>
    <w:p>
      <w:pPr>
        <w:jc w:val="center"/>
        <w:rPr>
          <w:rFonts w:hint="eastAsia" w:ascii="仿宋_GB2312" w:hAnsi="仿宋_GB2312" w:eastAsia="仿宋_GB2312" w:cs="仿宋_GB2312"/>
          <w:color w:val="auto"/>
          <w:sz w:val="32"/>
          <w:szCs w:val="32"/>
          <w:highlight w:val="none"/>
          <w:lang w:val="en-US" w:eastAsia="zh-CN"/>
        </w:rPr>
      </w:pPr>
      <w:r>
        <w:rPr>
          <w:rFonts w:hint="eastAsia" w:ascii="方正小标宋简体" w:hAnsi="方正小标宋简体" w:eastAsia="方正小标宋简体" w:cs="方正小标宋简体"/>
          <w:color w:val="auto"/>
          <w:sz w:val="44"/>
          <w:szCs w:val="44"/>
          <w:highlight w:val="none"/>
          <w:lang w:val="en-US" w:eastAsia="zh-CN"/>
        </w:rPr>
        <w:t>XX学校XX年XX季录取新生简明登记表</w:t>
      </w:r>
    </w:p>
    <w:tbl>
      <w:tblPr>
        <w:tblStyle w:val="5"/>
        <w:tblW w:w="4995"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36"/>
        <w:gridCol w:w="678"/>
        <w:gridCol w:w="1270"/>
        <w:gridCol w:w="626"/>
        <w:gridCol w:w="665"/>
        <w:gridCol w:w="886"/>
        <w:gridCol w:w="933"/>
        <w:gridCol w:w="1733"/>
        <w:gridCol w:w="791"/>
        <w:gridCol w:w="692"/>
        <w:gridCol w:w="889"/>
        <w:gridCol w:w="889"/>
        <w:gridCol w:w="1785"/>
        <w:gridCol w:w="6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val="0"/>
                <w:bCs w:val="0"/>
                <w:i w:val="0"/>
                <w:iCs w:val="0"/>
                <w:color w:val="auto"/>
                <w:sz w:val="20"/>
                <w:szCs w:val="20"/>
                <w:u w:val="none"/>
              </w:rPr>
            </w:pPr>
            <w:r>
              <w:rPr>
                <w:rFonts w:hint="eastAsia" w:ascii="黑体" w:hAnsi="黑体" w:eastAsia="黑体" w:cs="黑体"/>
                <w:b w:val="0"/>
                <w:bCs w:val="0"/>
                <w:i w:val="0"/>
                <w:iCs w:val="0"/>
                <w:color w:val="auto"/>
                <w:kern w:val="0"/>
                <w:sz w:val="20"/>
                <w:szCs w:val="20"/>
                <w:u w:val="none"/>
                <w:lang w:val="en-US" w:eastAsia="zh-CN" w:bidi="ar"/>
              </w:rPr>
              <w:t>序号</w:t>
            </w: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val="0"/>
                <w:bCs w:val="0"/>
                <w:i w:val="0"/>
                <w:iCs w:val="0"/>
                <w:color w:val="auto"/>
                <w:sz w:val="20"/>
                <w:szCs w:val="20"/>
                <w:u w:val="none"/>
              </w:rPr>
            </w:pPr>
            <w:r>
              <w:rPr>
                <w:rFonts w:hint="eastAsia" w:ascii="黑体" w:hAnsi="黑体" w:eastAsia="黑体" w:cs="黑体"/>
                <w:b w:val="0"/>
                <w:bCs w:val="0"/>
                <w:i w:val="0"/>
                <w:iCs w:val="0"/>
                <w:color w:val="auto"/>
                <w:kern w:val="0"/>
                <w:sz w:val="20"/>
                <w:szCs w:val="20"/>
                <w:u w:val="none"/>
                <w:lang w:val="en-US" w:eastAsia="zh-CN" w:bidi="ar"/>
              </w:rPr>
              <w:t>姓名</w:t>
            </w:r>
          </w:p>
        </w:tc>
        <w:tc>
          <w:tcPr>
            <w:tcW w:w="4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val="0"/>
                <w:bCs w:val="0"/>
                <w:i w:val="0"/>
                <w:iCs w:val="0"/>
                <w:color w:val="auto"/>
                <w:sz w:val="20"/>
                <w:szCs w:val="20"/>
                <w:u w:val="none"/>
              </w:rPr>
            </w:pPr>
            <w:r>
              <w:rPr>
                <w:rFonts w:hint="eastAsia" w:ascii="黑体" w:hAnsi="黑体" w:eastAsia="黑体" w:cs="黑体"/>
                <w:b w:val="0"/>
                <w:bCs w:val="0"/>
                <w:i w:val="0"/>
                <w:iCs w:val="0"/>
                <w:color w:val="auto"/>
                <w:kern w:val="0"/>
                <w:sz w:val="20"/>
                <w:szCs w:val="20"/>
                <w:u w:val="none"/>
                <w:lang w:val="en-US" w:eastAsia="zh-CN" w:bidi="ar"/>
              </w:rPr>
              <w:t>身份证号</w:t>
            </w:r>
          </w:p>
        </w:tc>
        <w:tc>
          <w:tcPr>
            <w:tcW w:w="2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val="0"/>
                <w:bCs w:val="0"/>
                <w:i w:val="0"/>
                <w:iCs w:val="0"/>
                <w:color w:val="auto"/>
                <w:sz w:val="20"/>
                <w:szCs w:val="20"/>
                <w:u w:val="none"/>
              </w:rPr>
            </w:pPr>
            <w:r>
              <w:rPr>
                <w:rFonts w:hint="eastAsia" w:ascii="黑体" w:hAnsi="黑体" w:eastAsia="黑体" w:cs="黑体"/>
                <w:b w:val="0"/>
                <w:bCs w:val="0"/>
                <w:i w:val="0"/>
                <w:iCs w:val="0"/>
                <w:color w:val="auto"/>
                <w:kern w:val="0"/>
                <w:sz w:val="20"/>
                <w:szCs w:val="20"/>
                <w:u w:val="none"/>
                <w:lang w:val="en-US" w:eastAsia="zh-CN" w:bidi="ar"/>
              </w:rPr>
              <w:t>性别</w:t>
            </w: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val="0"/>
                <w:bCs w:val="0"/>
                <w:i w:val="0"/>
                <w:iCs w:val="0"/>
                <w:color w:val="auto"/>
                <w:sz w:val="20"/>
                <w:szCs w:val="20"/>
                <w:u w:val="none"/>
              </w:rPr>
            </w:pPr>
            <w:r>
              <w:rPr>
                <w:rFonts w:hint="eastAsia" w:ascii="黑体" w:hAnsi="黑体" w:eastAsia="黑体" w:cs="黑体"/>
                <w:b w:val="0"/>
                <w:bCs w:val="0"/>
                <w:i w:val="0"/>
                <w:iCs w:val="0"/>
                <w:color w:val="auto"/>
                <w:kern w:val="0"/>
                <w:sz w:val="20"/>
                <w:szCs w:val="20"/>
                <w:u w:val="none"/>
                <w:lang w:val="en-US" w:eastAsia="zh-CN" w:bidi="ar"/>
              </w:rPr>
              <w:t>民族</w:t>
            </w:r>
          </w:p>
        </w:tc>
        <w:tc>
          <w:tcPr>
            <w:tcW w:w="3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val="0"/>
                <w:bCs w:val="0"/>
                <w:i w:val="0"/>
                <w:iCs w:val="0"/>
                <w:color w:val="auto"/>
                <w:sz w:val="20"/>
                <w:szCs w:val="20"/>
                <w:u w:val="none"/>
              </w:rPr>
            </w:pPr>
            <w:r>
              <w:rPr>
                <w:rFonts w:hint="eastAsia" w:ascii="黑体" w:hAnsi="黑体" w:eastAsia="黑体" w:cs="黑体"/>
                <w:b w:val="0"/>
                <w:bCs w:val="0"/>
                <w:i w:val="0"/>
                <w:iCs w:val="0"/>
                <w:color w:val="auto"/>
                <w:kern w:val="0"/>
                <w:sz w:val="20"/>
                <w:szCs w:val="20"/>
                <w:u w:val="none"/>
                <w:lang w:val="en-US" w:eastAsia="zh-CN" w:bidi="ar"/>
              </w:rPr>
              <w:t>入学前学历</w:t>
            </w:r>
          </w:p>
        </w:tc>
        <w:tc>
          <w:tcPr>
            <w:tcW w:w="3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val="0"/>
                <w:bCs w:val="0"/>
                <w:i w:val="0"/>
                <w:iCs w:val="0"/>
                <w:color w:val="auto"/>
                <w:sz w:val="20"/>
                <w:szCs w:val="20"/>
                <w:u w:val="none"/>
              </w:rPr>
            </w:pPr>
            <w:r>
              <w:rPr>
                <w:rFonts w:hint="eastAsia" w:ascii="黑体" w:hAnsi="黑体" w:eastAsia="黑体" w:cs="黑体"/>
                <w:b w:val="0"/>
                <w:bCs w:val="0"/>
                <w:i w:val="0"/>
                <w:iCs w:val="0"/>
                <w:color w:val="auto"/>
                <w:kern w:val="0"/>
                <w:sz w:val="20"/>
                <w:szCs w:val="20"/>
                <w:u w:val="none"/>
                <w:lang w:val="en-US" w:eastAsia="zh-CN" w:bidi="ar"/>
              </w:rPr>
              <w:t>毕业院校</w:t>
            </w:r>
          </w:p>
        </w:tc>
        <w:tc>
          <w:tcPr>
            <w:tcW w:w="6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val="0"/>
                <w:bCs w:val="0"/>
                <w:i w:val="0"/>
                <w:iCs w:val="0"/>
                <w:color w:val="auto"/>
                <w:sz w:val="20"/>
                <w:szCs w:val="20"/>
                <w:u w:val="none"/>
              </w:rPr>
            </w:pPr>
            <w:r>
              <w:rPr>
                <w:rFonts w:hint="eastAsia" w:ascii="黑体" w:hAnsi="黑体" w:eastAsia="黑体" w:cs="黑体"/>
                <w:b w:val="0"/>
                <w:bCs w:val="0"/>
                <w:i w:val="0"/>
                <w:iCs w:val="0"/>
                <w:color w:val="auto"/>
                <w:kern w:val="0"/>
                <w:sz w:val="20"/>
                <w:szCs w:val="20"/>
                <w:u w:val="none"/>
                <w:lang w:val="en-US" w:eastAsia="zh-CN" w:bidi="ar"/>
              </w:rPr>
              <w:t>录取专业</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val="0"/>
                <w:bCs w:val="0"/>
                <w:i w:val="0"/>
                <w:iCs w:val="0"/>
                <w:color w:val="auto"/>
                <w:sz w:val="20"/>
                <w:szCs w:val="20"/>
                <w:u w:val="none"/>
              </w:rPr>
            </w:pPr>
            <w:r>
              <w:rPr>
                <w:rFonts w:hint="eastAsia" w:ascii="黑体" w:hAnsi="黑体" w:eastAsia="黑体" w:cs="黑体"/>
                <w:b w:val="0"/>
                <w:bCs w:val="0"/>
                <w:i w:val="0"/>
                <w:iCs w:val="0"/>
                <w:color w:val="auto"/>
                <w:kern w:val="0"/>
                <w:sz w:val="20"/>
                <w:szCs w:val="20"/>
                <w:u w:val="none"/>
                <w:lang w:val="en-US" w:eastAsia="zh-CN" w:bidi="ar"/>
              </w:rPr>
              <w:t>培养层次</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val="0"/>
                <w:bCs w:val="0"/>
                <w:i w:val="0"/>
                <w:iCs w:val="0"/>
                <w:color w:val="auto"/>
                <w:sz w:val="20"/>
                <w:szCs w:val="20"/>
                <w:u w:val="none"/>
              </w:rPr>
            </w:pPr>
            <w:r>
              <w:rPr>
                <w:rFonts w:hint="eastAsia" w:ascii="黑体" w:hAnsi="黑体" w:eastAsia="黑体" w:cs="黑体"/>
                <w:b w:val="0"/>
                <w:bCs w:val="0"/>
                <w:i w:val="0"/>
                <w:iCs w:val="0"/>
                <w:color w:val="auto"/>
                <w:kern w:val="0"/>
                <w:sz w:val="20"/>
                <w:szCs w:val="20"/>
                <w:u w:val="none"/>
                <w:lang w:val="en-US" w:eastAsia="zh-CN" w:bidi="ar"/>
              </w:rPr>
              <w:t>学制</w:t>
            </w: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val="0"/>
                <w:bCs w:val="0"/>
                <w:i w:val="0"/>
                <w:iCs w:val="0"/>
                <w:color w:val="auto"/>
                <w:sz w:val="20"/>
                <w:szCs w:val="20"/>
                <w:u w:val="none"/>
              </w:rPr>
            </w:pPr>
            <w:r>
              <w:rPr>
                <w:rFonts w:hint="eastAsia" w:ascii="黑体" w:hAnsi="黑体" w:eastAsia="黑体" w:cs="黑体"/>
                <w:b w:val="0"/>
                <w:bCs w:val="0"/>
                <w:i w:val="0"/>
                <w:iCs w:val="0"/>
                <w:color w:val="auto"/>
                <w:kern w:val="0"/>
                <w:sz w:val="20"/>
                <w:szCs w:val="20"/>
                <w:u w:val="none"/>
                <w:lang w:val="en-US" w:eastAsia="zh-CN" w:bidi="ar"/>
              </w:rPr>
              <w:t>学习形式</w:t>
            </w: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val="0"/>
                <w:bCs w:val="0"/>
                <w:i w:val="0"/>
                <w:iCs w:val="0"/>
                <w:color w:val="auto"/>
                <w:sz w:val="20"/>
                <w:szCs w:val="20"/>
                <w:u w:val="none"/>
              </w:rPr>
            </w:pPr>
            <w:r>
              <w:rPr>
                <w:rFonts w:hint="eastAsia" w:ascii="黑体" w:hAnsi="黑体" w:eastAsia="黑体" w:cs="黑体"/>
                <w:b w:val="0"/>
                <w:bCs w:val="0"/>
                <w:i w:val="0"/>
                <w:iCs w:val="0"/>
                <w:color w:val="auto"/>
                <w:kern w:val="0"/>
                <w:sz w:val="20"/>
                <w:szCs w:val="20"/>
                <w:u w:val="none"/>
                <w:lang w:val="en-US" w:eastAsia="zh-CN" w:bidi="ar"/>
              </w:rPr>
              <w:t>学籍编号</w:t>
            </w:r>
          </w:p>
        </w:tc>
        <w:tc>
          <w:tcPr>
            <w:tcW w:w="67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val="0"/>
                <w:bCs w:val="0"/>
                <w:i w:val="0"/>
                <w:iCs w:val="0"/>
                <w:color w:val="auto"/>
                <w:sz w:val="20"/>
                <w:szCs w:val="20"/>
                <w:u w:val="none"/>
              </w:rPr>
            </w:pPr>
            <w:r>
              <w:rPr>
                <w:rFonts w:hint="eastAsia" w:ascii="黑体" w:hAnsi="黑体" w:eastAsia="黑体" w:cs="黑体"/>
                <w:b w:val="0"/>
                <w:bCs w:val="0"/>
                <w:i w:val="0"/>
                <w:iCs w:val="0"/>
                <w:color w:val="auto"/>
                <w:kern w:val="0"/>
                <w:sz w:val="20"/>
                <w:szCs w:val="20"/>
                <w:u w:val="none"/>
                <w:lang w:val="en-US" w:eastAsia="zh-CN" w:bidi="ar"/>
              </w:rPr>
              <w:t>户口所在地</w:t>
            </w: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b w:val="0"/>
                <w:bCs w:val="0"/>
                <w:i w:val="0"/>
                <w:iCs w:val="0"/>
                <w:color w:val="auto"/>
                <w:sz w:val="20"/>
                <w:szCs w:val="20"/>
                <w:u w:val="none"/>
              </w:rPr>
            </w:pPr>
            <w:r>
              <w:rPr>
                <w:rFonts w:hint="eastAsia" w:ascii="黑体" w:hAnsi="黑体" w:eastAsia="黑体" w:cs="黑体"/>
                <w:b w:val="0"/>
                <w:bCs w:val="0"/>
                <w:i w:val="0"/>
                <w:iCs w:val="0"/>
                <w:color w:val="auto"/>
                <w:kern w:val="0"/>
                <w:sz w:val="20"/>
                <w:szCs w:val="20"/>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2"/>
                <w:szCs w:val="22"/>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4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both"/>
              <w:rPr>
                <w:rFonts w:hint="eastAsia" w:ascii="宋体" w:hAnsi="宋体" w:eastAsia="宋体" w:cs="宋体"/>
                <w:i w:val="0"/>
                <w:iCs w:val="0"/>
                <w:color w:val="auto"/>
                <w:sz w:val="22"/>
                <w:szCs w:val="22"/>
                <w:u w:val="none"/>
              </w:rPr>
            </w:pPr>
          </w:p>
        </w:tc>
        <w:tc>
          <w:tcPr>
            <w:tcW w:w="2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7"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55"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5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7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both"/>
              <w:rPr>
                <w:rFonts w:hint="eastAsia" w:ascii="宋体" w:hAnsi="宋体" w:eastAsia="宋体" w:cs="宋体"/>
                <w:i w:val="0"/>
                <w:iCs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2"/>
                <w:szCs w:val="22"/>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48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7"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55"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5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7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both"/>
              <w:rPr>
                <w:rFonts w:hint="eastAsia" w:ascii="宋体" w:hAnsi="宋体" w:eastAsia="宋体" w:cs="宋体"/>
                <w:i w:val="0"/>
                <w:iCs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2"/>
                <w:szCs w:val="22"/>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48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7"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55"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5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7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both"/>
              <w:rPr>
                <w:rFonts w:hint="eastAsia" w:ascii="宋体" w:hAnsi="宋体" w:eastAsia="宋体" w:cs="宋体"/>
                <w:i w:val="0"/>
                <w:iCs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2"/>
                <w:szCs w:val="22"/>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48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7"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55"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5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7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both"/>
              <w:rPr>
                <w:rFonts w:hint="eastAsia" w:ascii="宋体" w:hAnsi="宋体" w:eastAsia="宋体" w:cs="宋体"/>
                <w:i w:val="0"/>
                <w:iCs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2"/>
                <w:szCs w:val="22"/>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48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7"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55"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5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7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both"/>
              <w:rPr>
                <w:rFonts w:hint="eastAsia" w:ascii="宋体" w:hAnsi="宋体" w:eastAsia="宋体" w:cs="宋体"/>
                <w:i w:val="0"/>
                <w:iCs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2"/>
                <w:szCs w:val="22"/>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48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7"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55"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5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7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both"/>
              <w:rPr>
                <w:rFonts w:hint="eastAsia" w:ascii="宋体" w:hAnsi="宋体" w:eastAsia="宋体" w:cs="宋体"/>
                <w:i w:val="0"/>
                <w:iCs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2"/>
                <w:szCs w:val="22"/>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48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7"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55"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5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7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both"/>
              <w:rPr>
                <w:rFonts w:hint="eastAsia" w:ascii="宋体" w:hAnsi="宋体" w:eastAsia="宋体" w:cs="宋体"/>
                <w:i w:val="0"/>
                <w:iCs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2"/>
                <w:szCs w:val="22"/>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48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7"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55"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5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7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both"/>
              <w:rPr>
                <w:rFonts w:hint="eastAsia" w:ascii="宋体" w:hAnsi="宋体" w:eastAsia="宋体" w:cs="宋体"/>
                <w:i w:val="0"/>
                <w:iCs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2"/>
                <w:szCs w:val="22"/>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48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7"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55"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5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7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both"/>
              <w:rPr>
                <w:rFonts w:hint="eastAsia" w:ascii="宋体" w:hAnsi="宋体" w:eastAsia="宋体" w:cs="宋体"/>
                <w:i w:val="0"/>
                <w:iCs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2"/>
                <w:szCs w:val="22"/>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48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7"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55"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5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338"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679"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0"/>
                <w:szCs w:val="20"/>
                <w:u w:val="none"/>
              </w:rPr>
            </w:pPr>
          </w:p>
        </w:tc>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rPr>
                <w:rFonts w:hint="eastAsia" w:ascii="宋体" w:hAnsi="宋体" w:eastAsia="宋体" w:cs="宋体"/>
                <w:i w:val="0"/>
                <w:iCs w:val="0"/>
                <w:color w:val="auto"/>
                <w:sz w:val="22"/>
                <w:szCs w:val="22"/>
                <w:u w:val="none"/>
              </w:rPr>
            </w:pPr>
          </w:p>
        </w:tc>
      </w:tr>
    </w:tbl>
    <w:p>
      <w:pPr>
        <w:keepNext w:val="0"/>
        <w:keepLines w:val="0"/>
        <w:pageBreakBefore w:val="0"/>
        <w:widowControl w:val="0"/>
        <w:kinsoku/>
        <w:wordWrap/>
        <w:overflowPunct/>
        <w:topLinePunct w:val="0"/>
        <w:autoSpaceDE/>
        <w:autoSpaceDN/>
        <w:bidi w:val="0"/>
        <w:adjustRightInd/>
        <w:snapToGrid/>
        <w:spacing w:before="296" w:beforeLines="50" w:line="240" w:lineRule="exact"/>
        <w:textAlignment w:val="auto"/>
        <w:rPr>
          <w:rFonts w:hint="eastAsia"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注：1.录取专业栏填写《技工院校专业目录》中规范的专业名称。2.培养层次分为中级工、高级工、预备技师、技师。3.学习形式分为全日制和非全日制。4.户口所在地写到县市区即可。5.本表按培养层级，中级工、高级工报设区市人力资源社会保障部门盖章，预备技师、技师报省人力资源社会保障厅盖章。技工院校留存一份、各级人社部门留存一份。</w:t>
      </w:r>
    </w:p>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_GB2312" w:hAnsi="仿宋_GB2312" w:eastAsia="仿宋_GB2312" w:cs="仿宋_GB2312"/>
          <w:color w:val="auto"/>
          <w:sz w:val="20"/>
          <w:szCs w:val="20"/>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技工院校招办负责人签字：     技工院（校）长签字（学校公章）：     市人力资源社会保障局(盖章):     省人力资源社会保障厅（盖章）：</w:t>
      </w:r>
    </w:p>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 xml:space="preserve">     年   月   日               年    月    日                      年     月    日                   年     月    日</w:t>
      </w:r>
    </w:p>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仿宋_GB2312" w:hAnsi="仿宋_GB2312" w:eastAsia="仿宋_GB2312" w:cs="仿宋_GB2312"/>
          <w:color w:val="auto"/>
          <w:sz w:val="20"/>
          <w:szCs w:val="20"/>
          <w:highlight w:val="none"/>
          <w:lang w:val="en-US" w:eastAsia="zh-CN"/>
        </w:rPr>
        <w:sectPr>
          <w:pgSz w:w="16838" w:h="11906" w:orient="landscape"/>
          <w:pgMar w:top="1531" w:right="2098" w:bottom="1531" w:left="1814" w:header="851" w:footer="1587" w:gutter="0"/>
          <w:cols w:space="0" w:num="1"/>
          <w:rtlGutter w:val="0"/>
          <w:docGrid w:type="linesAndChars" w:linePitch="587" w:charSpace="-849"/>
        </w:sectPr>
      </w:pPr>
      <w:r>
        <w:rPr>
          <w:rFonts w:hint="eastAsia" w:ascii="仿宋_GB2312" w:hAnsi="仿宋_GB2312" w:eastAsia="仿宋_GB2312" w:cs="仿宋_GB2312"/>
          <w:color w:val="auto"/>
          <w:sz w:val="20"/>
          <w:szCs w:val="20"/>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eastAsia="zh-CN"/>
        </w:rPr>
        <w:t>附件</w:t>
      </w:r>
      <w:r>
        <w:rPr>
          <w:rFonts w:hint="eastAsia" w:ascii="黑体" w:hAnsi="黑体" w:eastAsia="黑体" w:cs="黑体"/>
          <w:color w:val="auto"/>
          <w:sz w:val="32"/>
          <w:szCs w:val="32"/>
          <w:highlight w:val="none"/>
          <w:lang w:val="en-US" w:eastAsia="zh-CN"/>
        </w:rPr>
        <w:t>2</w:t>
      </w:r>
    </w:p>
    <w:p>
      <w:pPr>
        <w:keepNext w:val="0"/>
        <w:keepLines w:val="0"/>
        <w:pageBreakBefore w:val="0"/>
        <w:widowControl w:val="0"/>
        <w:kinsoku/>
        <w:wordWrap/>
        <w:overflowPunct/>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highlight w:val="none"/>
          <w:lang w:eastAsia="zh-CN"/>
        </w:rPr>
      </w:pPr>
    </w:p>
    <w:p>
      <w:pPr>
        <w:keepNext w:val="0"/>
        <w:keepLines w:val="0"/>
        <w:pageBreakBefore w:val="0"/>
        <w:widowControl w:val="0"/>
        <w:kinsoku/>
        <w:wordWrap/>
        <w:overflowPunct/>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highlight w:val="none"/>
          <w:lang w:eastAsia="zh-CN"/>
        </w:rPr>
      </w:pPr>
      <w:r>
        <w:rPr>
          <w:rFonts w:hint="eastAsia" w:ascii="方正小标宋简体" w:hAnsi="方正小标宋简体" w:eastAsia="方正小标宋简体" w:cs="方正小标宋简体"/>
          <w:color w:val="auto"/>
          <w:sz w:val="44"/>
          <w:szCs w:val="44"/>
          <w:highlight w:val="none"/>
          <w:lang w:eastAsia="zh-CN"/>
        </w:rPr>
        <w:t>技工院校学生资助政策学习明白纸</w:t>
      </w:r>
    </w:p>
    <w:p>
      <w:pPr>
        <w:keepNext w:val="0"/>
        <w:keepLines w:val="0"/>
        <w:pageBreakBefore w:val="0"/>
        <w:widowControl w:val="0"/>
        <w:kinsoku/>
        <w:wordWrap/>
        <w:overflowPunct/>
        <w:autoSpaceDE/>
        <w:autoSpaceDN/>
        <w:bidi w:val="0"/>
        <w:adjustRightInd/>
        <w:snapToGrid/>
        <w:spacing w:line="560" w:lineRule="exact"/>
        <w:textAlignment w:val="auto"/>
        <w:rPr>
          <w:rFonts w:hint="eastAsia" w:ascii="仿宋_GB2312" w:hAnsi="仿宋_GB2312" w:eastAsia="仿宋_GB2312" w:cs="仿宋_GB2312"/>
          <w:color w:val="auto"/>
          <w:sz w:val="32"/>
          <w:szCs w:val="32"/>
          <w:highlight w:val="none"/>
          <w:lang w:eastAsia="zh-CN"/>
        </w:rPr>
      </w:pPr>
    </w:p>
    <w:p>
      <w:pPr>
        <w:keepNext w:val="0"/>
        <w:keepLines w:val="0"/>
        <w:pageBreakBefore w:val="0"/>
        <w:widowControl w:val="0"/>
        <w:kinsoku/>
        <w:wordWrap/>
        <w:overflowPunct/>
        <w:autoSpaceDE/>
        <w:autoSpaceDN/>
        <w:bidi w:val="0"/>
        <w:adjustRightInd/>
        <w:snapToGrid/>
        <w:spacing w:line="560" w:lineRule="exact"/>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eastAsia="zh-CN"/>
        </w:rPr>
        <w:t>学校名称：</w:t>
      </w:r>
      <w:r>
        <w:rPr>
          <w:rFonts w:hint="eastAsia" w:ascii="仿宋_GB2312" w:hAnsi="仿宋_GB2312" w:eastAsia="仿宋_GB2312" w:cs="仿宋_GB2312"/>
          <w:color w:val="auto"/>
          <w:sz w:val="32"/>
          <w:szCs w:val="32"/>
          <w:highlight w:val="none"/>
          <w:lang w:val="en-US" w:eastAsia="zh-CN"/>
        </w:rPr>
        <w:t xml:space="preserve">               学校性质：</w:t>
      </w:r>
    </w:p>
    <w:p>
      <w:pPr>
        <w:keepNext w:val="0"/>
        <w:keepLines w:val="0"/>
        <w:pageBreakBefore w:val="0"/>
        <w:widowControl w:val="0"/>
        <w:kinsoku/>
        <w:wordWrap/>
        <w:overflowPunct/>
        <w:autoSpaceDE/>
        <w:autoSpaceDN/>
        <w:bidi w:val="0"/>
        <w:adjustRightInd/>
        <w:snapToGrid/>
        <w:spacing w:line="560" w:lineRule="exact"/>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eastAsia="zh-CN"/>
        </w:rPr>
        <w:t>所学专业：</w:t>
      </w:r>
      <w:r>
        <w:rPr>
          <w:rFonts w:hint="eastAsia" w:ascii="仿宋_GB2312" w:hAnsi="仿宋_GB2312" w:eastAsia="仿宋_GB2312" w:cs="仿宋_GB2312"/>
          <w:color w:val="auto"/>
          <w:sz w:val="32"/>
          <w:szCs w:val="32"/>
          <w:highlight w:val="none"/>
          <w:lang w:val="en-US" w:eastAsia="zh-CN"/>
        </w:rPr>
        <w:t xml:space="preserve">           培养层次：         学制：</w:t>
      </w:r>
    </w:p>
    <w:p>
      <w:pPr>
        <w:keepNext w:val="0"/>
        <w:keepLines w:val="0"/>
        <w:pageBreakBefore w:val="0"/>
        <w:widowControl w:val="0"/>
        <w:kinsoku/>
        <w:wordWrap/>
        <w:overflowPunct/>
        <w:autoSpaceDE/>
        <w:autoSpaceDN/>
        <w:bidi w:val="0"/>
        <w:adjustRightInd/>
        <w:snapToGrid/>
        <w:spacing w:line="560" w:lineRule="exact"/>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    </w:t>
      </w:r>
    </w:p>
    <w:p>
      <w:pPr>
        <w:keepNext w:val="0"/>
        <w:keepLines w:val="0"/>
        <w:pageBreakBefore w:val="0"/>
        <w:widowControl w:val="0"/>
        <w:kinsoku/>
        <w:wordWrap/>
        <w:overflowPunct/>
        <w:autoSpaceDE/>
        <w:autoSpaceDN/>
        <w:bidi w:val="0"/>
        <w:adjustRightInd/>
        <w:snapToGrid/>
        <w:spacing w:line="560" w:lineRule="exact"/>
        <w:ind w:firstLine="632" w:firstLineChars="200"/>
        <w:textAlignment w:val="auto"/>
        <w:rPr>
          <w:rFonts w:hint="eastAsia" w:ascii="仿宋_GB2312" w:eastAsia="仿宋_GB2312"/>
          <w:bCs/>
          <w:color w:val="auto"/>
          <w:sz w:val="32"/>
          <w:szCs w:val="32"/>
          <w:highlight w:val="none"/>
        </w:rPr>
      </w:pPr>
      <w:r>
        <w:rPr>
          <w:rFonts w:hint="eastAsia" w:ascii="仿宋_GB2312" w:eastAsia="仿宋_GB2312"/>
          <w:b/>
          <w:bCs/>
          <w:color w:val="auto"/>
          <w:sz w:val="32"/>
          <w:szCs w:val="32"/>
          <w:highlight w:val="none"/>
        </w:rPr>
        <w:t>免学费</w:t>
      </w:r>
      <w:r>
        <w:rPr>
          <w:rFonts w:hint="eastAsia" w:ascii="仿宋_GB2312" w:eastAsia="仿宋_GB2312"/>
          <w:b/>
          <w:bCs/>
          <w:color w:val="auto"/>
          <w:sz w:val="32"/>
          <w:szCs w:val="32"/>
          <w:highlight w:val="none"/>
          <w:lang w:eastAsia="zh-CN"/>
        </w:rPr>
        <w:t>政策：</w:t>
      </w:r>
      <w:r>
        <w:rPr>
          <w:rFonts w:hint="eastAsia" w:ascii="仿宋_GB2312" w:eastAsia="仿宋_GB2312"/>
          <w:bCs/>
          <w:color w:val="auto"/>
          <w:sz w:val="32"/>
          <w:szCs w:val="32"/>
          <w:highlight w:val="none"/>
        </w:rPr>
        <w:t>对</w:t>
      </w:r>
      <w:r>
        <w:rPr>
          <w:rFonts w:hint="eastAsia" w:ascii="仿宋_GB2312" w:hAnsi="宋体" w:eastAsia="仿宋_GB2312" w:cs="宋体"/>
          <w:color w:val="auto"/>
          <w:kern w:val="0"/>
          <w:sz w:val="32"/>
          <w:szCs w:val="32"/>
          <w:highlight w:val="none"/>
          <w:lang w:eastAsia="zh-CN"/>
        </w:rPr>
        <w:t>技工院校</w:t>
      </w:r>
      <w:r>
        <w:rPr>
          <w:rFonts w:hint="eastAsia" w:ascii="仿宋_GB2312" w:hAnsi="宋体" w:eastAsia="仿宋_GB2312" w:cs="宋体"/>
          <w:color w:val="auto"/>
          <w:kern w:val="0"/>
          <w:sz w:val="32"/>
          <w:szCs w:val="32"/>
          <w:highlight w:val="none"/>
        </w:rPr>
        <w:t>全日制正式学籍一、二、三年级在校生免除学费。民办</w:t>
      </w:r>
      <w:r>
        <w:rPr>
          <w:rFonts w:hint="eastAsia" w:ascii="仿宋_GB2312" w:hAnsi="宋体" w:eastAsia="仿宋_GB2312" w:cs="宋体"/>
          <w:color w:val="auto"/>
          <w:kern w:val="0"/>
          <w:sz w:val="32"/>
          <w:szCs w:val="32"/>
          <w:highlight w:val="none"/>
          <w:lang w:eastAsia="zh-CN"/>
        </w:rPr>
        <w:t>技工学校</w:t>
      </w:r>
      <w:r>
        <w:rPr>
          <w:rFonts w:hint="eastAsia" w:ascii="仿宋_GB2312" w:hAnsi="宋体" w:eastAsia="仿宋_GB2312" w:cs="宋体"/>
          <w:color w:val="auto"/>
          <w:kern w:val="0"/>
          <w:sz w:val="32"/>
          <w:szCs w:val="32"/>
          <w:highlight w:val="none"/>
        </w:rPr>
        <w:t>在校生按照当地同类型同专业公办</w:t>
      </w:r>
      <w:r>
        <w:rPr>
          <w:rFonts w:hint="eastAsia" w:ascii="仿宋_GB2312" w:hAnsi="宋体" w:eastAsia="仿宋_GB2312" w:cs="宋体"/>
          <w:color w:val="auto"/>
          <w:kern w:val="0"/>
          <w:sz w:val="32"/>
          <w:szCs w:val="32"/>
          <w:highlight w:val="none"/>
          <w:lang w:eastAsia="zh-CN"/>
        </w:rPr>
        <w:t>技工学校</w:t>
      </w:r>
      <w:r>
        <w:rPr>
          <w:rFonts w:hint="eastAsia" w:ascii="仿宋_GB2312" w:hAnsi="宋体" w:eastAsia="仿宋_GB2312" w:cs="宋体"/>
          <w:color w:val="auto"/>
          <w:kern w:val="0"/>
          <w:sz w:val="32"/>
          <w:szCs w:val="32"/>
          <w:highlight w:val="none"/>
        </w:rPr>
        <w:t>收费标准免除学费，学费标准高于公办学校的部分，学校可以按规定继续向学生收取。</w:t>
      </w:r>
    </w:p>
    <w:p>
      <w:pPr>
        <w:keepNext w:val="0"/>
        <w:keepLines w:val="0"/>
        <w:pageBreakBefore w:val="0"/>
        <w:widowControl w:val="0"/>
        <w:kinsoku/>
        <w:wordWrap/>
        <w:overflowPunct/>
        <w:topLinePunct/>
        <w:autoSpaceDE/>
        <w:autoSpaceDN/>
        <w:bidi w:val="0"/>
        <w:adjustRightInd/>
        <w:snapToGrid/>
        <w:spacing w:line="560" w:lineRule="exact"/>
        <w:ind w:firstLine="632" w:firstLineChars="200"/>
        <w:textAlignment w:val="auto"/>
        <w:rPr>
          <w:rFonts w:hint="eastAsia" w:ascii="仿宋_GB2312" w:eastAsia="仿宋_GB2312"/>
          <w:bCs/>
          <w:color w:val="auto"/>
          <w:sz w:val="32"/>
          <w:szCs w:val="32"/>
          <w:highlight w:val="none"/>
        </w:rPr>
      </w:pPr>
      <w:r>
        <w:rPr>
          <w:rFonts w:hint="eastAsia" w:ascii="仿宋_GB2312" w:eastAsia="仿宋_GB2312"/>
          <w:b/>
          <w:bCs/>
          <w:color w:val="auto"/>
          <w:sz w:val="32"/>
          <w:szCs w:val="32"/>
          <w:highlight w:val="none"/>
        </w:rPr>
        <w:t>国家助学金</w:t>
      </w:r>
      <w:r>
        <w:rPr>
          <w:rFonts w:hint="eastAsia" w:ascii="仿宋_GB2312" w:eastAsia="仿宋_GB2312"/>
          <w:b/>
          <w:bCs/>
          <w:color w:val="auto"/>
          <w:sz w:val="32"/>
          <w:szCs w:val="32"/>
          <w:highlight w:val="none"/>
          <w:lang w:eastAsia="zh-CN"/>
        </w:rPr>
        <w:t>政策：</w:t>
      </w:r>
      <w:r>
        <w:rPr>
          <w:rFonts w:hint="eastAsia" w:ascii="仿宋_GB2312" w:eastAsia="仿宋_GB2312"/>
          <w:bCs/>
          <w:color w:val="auto"/>
          <w:sz w:val="32"/>
          <w:szCs w:val="32"/>
          <w:highlight w:val="none"/>
        </w:rPr>
        <w:t>资助</w:t>
      </w:r>
      <w:r>
        <w:rPr>
          <w:rFonts w:hint="eastAsia" w:ascii="仿宋_GB2312" w:eastAsia="仿宋_GB2312"/>
          <w:bCs/>
          <w:color w:val="auto"/>
          <w:sz w:val="32"/>
          <w:szCs w:val="32"/>
          <w:highlight w:val="none"/>
          <w:lang w:eastAsia="zh-CN"/>
        </w:rPr>
        <w:t>技工院校</w:t>
      </w:r>
      <w:r>
        <w:rPr>
          <w:rFonts w:hint="eastAsia" w:ascii="仿宋_GB2312" w:eastAsia="仿宋_GB2312"/>
          <w:bCs/>
          <w:color w:val="auto"/>
          <w:sz w:val="32"/>
          <w:szCs w:val="32"/>
          <w:highlight w:val="none"/>
        </w:rPr>
        <w:t>全日制正式学籍一、二年级在校涉农专业学生和非涉农专业家庭经济困难学生。平均资助标准为每生每年2000元。</w:t>
      </w:r>
    </w:p>
    <w:p>
      <w:pPr>
        <w:keepNext w:val="0"/>
        <w:keepLines w:val="0"/>
        <w:pageBreakBefore w:val="0"/>
        <w:widowControl w:val="0"/>
        <w:kinsoku/>
        <w:wordWrap/>
        <w:overflowPunct/>
        <w:topLinePunct/>
        <w:autoSpaceDE/>
        <w:autoSpaceDN/>
        <w:bidi w:val="0"/>
        <w:adjustRightInd/>
        <w:snapToGrid/>
        <w:spacing w:line="560" w:lineRule="exact"/>
        <w:ind w:firstLine="632" w:firstLineChars="200"/>
        <w:textAlignment w:val="auto"/>
        <w:rPr>
          <w:rFonts w:hint="eastAsia" w:ascii="仿宋_GB2312" w:eastAsia="仿宋_GB2312"/>
          <w:bCs/>
          <w:color w:val="auto"/>
          <w:sz w:val="32"/>
          <w:szCs w:val="32"/>
          <w:highlight w:val="none"/>
        </w:rPr>
      </w:pPr>
    </w:p>
    <w:p>
      <w:pPr>
        <w:keepNext w:val="0"/>
        <w:keepLines w:val="0"/>
        <w:pageBreakBefore w:val="0"/>
        <w:widowControl w:val="0"/>
        <w:kinsoku/>
        <w:wordWrap/>
        <w:overflowPunct/>
        <w:topLinePunct/>
        <w:autoSpaceDE/>
        <w:autoSpaceDN/>
        <w:bidi w:val="0"/>
        <w:adjustRightInd/>
        <w:snapToGrid/>
        <w:spacing w:line="560" w:lineRule="exact"/>
        <w:ind w:firstLine="632" w:firstLineChars="200"/>
        <w:textAlignment w:val="auto"/>
        <w:rPr>
          <w:rFonts w:hint="eastAsia" w:ascii="仿宋_GB2312" w:eastAsia="仿宋_GB2312"/>
          <w:bCs/>
          <w:color w:val="auto"/>
          <w:sz w:val="32"/>
          <w:szCs w:val="32"/>
          <w:highlight w:val="none"/>
          <w:lang w:eastAsia="zh-CN"/>
        </w:rPr>
      </w:pPr>
      <w:r>
        <w:rPr>
          <w:rFonts w:hint="eastAsia" w:ascii="仿宋_GB2312" w:eastAsia="仿宋_GB2312"/>
          <w:bCs/>
          <w:color w:val="auto"/>
          <w:sz w:val="32"/>
          <w:szCs w:val="32"/>
          <w:highlight w:val="none"/>
          <w:lang w:eastAsia="zh-CN"/>
        </w:rPr>
        <w:t>我已知悉技工院校免学费和国家助学金政策，本人</w:t>
      </w:r>
      <w:r>
        <w:rPr>
          <w:rFonts w:hint="eastAsia" w:ascii="仿宋_GB2312" w:eastAsia="仿宋_GB2312"/>
          <w:bCs/>
          <w:color w:val="auto"/>
          <w:sz w:val="32"/>
          <w:szCs w:val="32"/>
          <w:highlight w:val="none"/>
          <w:lang w:val="en-US" w:eastAsia="zh-CN"/>
        </w:rPr>
        <w:t>XX年XX月到XXX</w:t>
      </w:r>
      <w:r>
        <w:rPr>
          <w:rFonts w:hint="eastAsia" w:ascii="仿宋_GB2312" w:eastAsia="仿宋_GB2312"/>
          <w:bCs/>
          <w:color w:val="auto"/>
          <w:sz w:val="32"/>
          <w:szCs w:val="32"/>
          <w:highlight w:val="none"/>
          <w:lang w:eastAsia="zh-CN"/>
        </w:rPr>
        <w:t>学校就读，学校性质为公办院校，未收取学费。</w:t>
      </w:r>
    </w:p>
    <w:p>
      <w:pPr>
        <w:keepNext w:val="0"/>
        <w:keepLines w:val="0"/>
        <w:pageBreakBefore w:val="0"/>
        <w:widowControl w:val="0"/>
        <w:kinsoku/>
        <w:wordWrap/>
        <w:overflowPunct/>
        <w:topLinePunct/>
        <w:autoSpaceDE/>
        <w:autoSpaceDN/>
        <w:bidi w:val="0"/>
        <w:adjustRightInd/>
        <w:snapToGrid/>
        <w:spacing w:line="560" w:lineRule="exact"/>
        <w:ind w:firstLine="632" w:firstLineChars="200"/>
        <w:textAlignment w:val="auto"/>
        <w:rPr>
          <w:rFonts w:hint="eastAsia" w:ascii="仿宋_GB2312" w:eastAsia="仿宋_GB2312"/>
          <w:bCs/>
          <w:color w:val="auto"/>
          <w:sz w:val="32"/>
          <w:szCs w:val="32"/>
          <w:highlight w:val="none"/>
          <w:lang w:eastAsia="zh-CN"/>
        </w:rPr>
      </w:pPr>
      <w:r>
        <w:rPr>
          <w:rFonts w:hint="eastAsia" w:ascii="仿宋_GB2312" w:eastAsia="仿宋_GB2312"/>
          <w:bCs/>
          <w:color w:val="auto"/>
          <w:sz w:val="32"/>
          <w:szCs w:val="32"/>
          <w:highlight w:val="none"/>
          <w:lang w:eastAsia="zh-CN"/>
        </w:rPr>
        <w:t>（我已知悉技工院校免学费和国家助学金政策，本人</w:t>
      </w:r>
      <w:r>
        <w:rPr>
          <w:rFonts w:hint="eastAsia" w:ascii="仿宋_GB2312" w:eastAsia="仿宋_GB2312"/>
          <w:bCs/>
          <w:color w:val="auto"/>
          <w:sz w:val="32"/>
          <w:szCs w:val="32"/>
          <w:highlight w:val="none"/>
          <w:lang w:val="en-US" w:eastAsia="zh-CN"/>
        </w:rPr>
        <w:t>XX年XX月到XXX</w:t>
      </w:r>
      <w:r>
        <w:rPr>
          <w:rFonts w:hint="eastAsia" w:ascii="仿宋_GB2312" w:eastAsia="仿宋_GB2312"/>
          <w:bCs/>
          <w:color w:val="auto"/>
          <w:sz w:val="32"/>
          <w:szCs w:val="32"/>
          <w:highlight w:val="none"/>
          <w:lang w:eastAsia="zh-CN"/>
        </w:rPr>
        <w:t>学校就读，学校性质为民办院校，学费标准</w:t>
      </w:r>
      <w:r>
        <w:rPr>
          <w:rFonts w:hint="eastAsia" w:ascii="仿宋_GB2312" w:eastAsia="仿宋_GB2312"/>
          <w:bCs/>
          <w:color w:val="auto"/>
          <w:sz w:val="32"/>
          <w:szCs w:val="32"/>
          <w:highlight w:val="none"/>
          <w:lang w:val="en-US" w:eastAsia="zh-CN"/>
        </w:rPr>
        <w:t xml:space="preserve">   元/学年，免除学费    元/学年，实收学费       元/学年，</w:t>
      </w:r>
      <w:r>
        <w:rPr>
          <w:rFonts w:hint="eastAsia" w:ascii="仿宋_GB2312" w:eastAsia="仿宋_GB2312"/>
          <w:bCs/>
          <w:color w:val="auto"/>
          <w:sz w:val="32"/>
          <w:szCs w:val="32"/>
          <w:highlight w:val="none"/>
          <w:lang w:eastAsia="zh-CN"/>
        </w:rPr>
        <w:t>未跨</w:t>
      </w:r>
      <w:r>
        <w:rPr>
          <w:rFonts w:hint="eastAsia" w:ascii="仿宋_GB2312" w:eastAsia="仿宋_GB2312"/>
          <w:bCs/>
          <w:color w:val="auto"/>
          <w:sz w:val="32"/>
          <w:szCs w:val="32"/>
          <w:highlight w:val="none"/>
          <w:lang w:val="en-US" w:eastAsia="zh-CN"/>
        </w:rPr>
        <w:t>学</w:t>
      </w:r>
      <w:r>
        <w:rPr>
          <w:rFonts w:hint="eastAsia" w:ascii="仿宋_GB2312" w:eastAsia="仿宋_GB2312"/>
          <w:bCs/>
          <w:color w:val="auto"/>
          <w:sz w:val="32"/>
          <w:szCs w:val="32"/>
          <w:highlight w:val="none"/>
          <w:lang w:eastAsia="zh-CN"/>
        </w:rPr>
        <w:t>年收取学费。）</w:t>
      </w:r>
    </w:p>
    <w:p>
      <w:pPr>
        <w:keepNext w:val="0"/>
        <w:keepLines w:val="0"/>
        <w:pageBreakBefore w:val="0"/>
        <w:widowControl w:val="0"/>
        <w:kinsoku/>
        <w:wordWrap/>
        <w:overflowPunct/>
        <w:topLinePunct/>
        <w:autoSpaceDE/>
        <w:autoSpaceDN/>
        <w:bidi w:val="0"/>
        <w:adjustRightInd/>
        <w:snapToGrid/>
        <w:spacing w:line="560" w:lineRule="exact"/>
        <w:ind w:firstLine="632" w:firstLineChars="200"/>
        <w:textAlignment w:val="auto"/>
        <w:rPr>
          <w:rFonts w:hint="eastAsia" w:ascii="仿宋_GB2312" w:eastAsia="仿宋_GB2312"/>
          <w:bCs/>
          <w:color w:val="auto"/>
          <w:sz w:val="32"/>
          <w:szCs w:val="32"/>
          <w:highlight w:val="none"/>
          <w:lang w:eastAsia="zh-CN"/>
        </w:rPr>
      </w:pPr>
      <w:r>
        <w:rPr>
          <w:rFonts w:hint="eastAsia" w:ascii="仿宋_GB2312" w:eastAsia="仿宋_GB2312"/>
          <w:bCs/>
          <w:color w:val="auto"/>
          <w:sz w:val="32"/>
          <w:szCs w:val="32"/>
          <w:highlight w:val="none"/>
          <w:lang w:eastAsia="zh-CN"/>
        </w:rPr>
        <w:t>学生签字：</w:t>
      </w:r>
    </w:p>
    <w:p>
      <w:pPr>
        <w:keepNext w:val="0"/>
        <w:keepLines w:val="0"/>
        <w:pageBreakBefore w:val="0"/>
        <w:widowControl w:val="0"/>
        <w:kinsoku/>
        <w:wordWrap/>
        <w:overflowPunct/>
        <w:topLinePunct/>
        <w:autoSpaceDE/>
        <w:autoSpaceDN/>
        <w:bidi w:val="0"/>
        <w:adjustRightInd/>
        <w:snapToGrid/>
        <w:spacing w:line="560" w:lineRule="exact"/>
        <w:ind w:firstLine="632" w:firstLineChars="200"/>
        <w:textAlignment w:val="auto"/>
        <w:rPr>
          <w:rFonts w:hint="eastAsia" w:ascii="仿宋_GB2312" w:eastAsia="仿宋_GB2312"/>
          <w:bCs/>
          <w:color w:val="auto"/>
          <w:sz w:val="32"/>
          <w:szCs w:val="32"/>
          <w:highlight w:val="none"/>
          <w:lang w:eastAsia="zh-CN"/>
        </w:rPr>
      </w:pPr>
      <w:r>
        <w:rPr>
          <w:rFonts w:hint="eastAsia" w:ascii="仿宋_GB2312" w:eastAsia="仿宋_GB2312"/>
          <w:bCs/>
          <w:color w:val="auto"/>
          <w:sz w:val="32"/>
          <w:szCs w:val="32"/>
          <w:highlight w:val="none"/>
          <w:lang w:eastAsia="zh-CN"/>
        </w:rPr>
        <w:t>日期：</w:t>
      </w:r>
    </w:p>
    <w:p>
      <w:pPr>
        <w:rPr>
          <w:rFonts w:hint="eastAsia" w:ascii="仿宋_GB2312" w:eastAsia="仿宋_GB2312"/>
          <w:bCs/>
          <w:color w:val="auto"/>
          <w:sz w:val="32"/>
          <w:szCs w:val="32"/>
          <w:highlight w:val="none"/>
          <w:lang w:eastAsia="zh-CN"/>
        </w:rPr>
      </w:pPr>
      <w:r>
        <w:rPr>
          <w:rFonts w:hint="eastAsia" w:ascii="仿宋_GB2312" w:eastAsia="仿宋_GB2312"/>
          <w:bCs/>
          <w:color w:val="auto"/>
          <w:sz w:val="32"/>
          <w:szCs w:val="32"/>
          <w:highlight w:val="none"/>
          <w:lang w:eastAsia="zh-CN"/>
        </w:rPr>
        <w:br w:type="page"/>
      </w: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ascii="仿宋_GB2312" w:hAnsi="仿宋_GB2312" w:eastAsia="仿宋_GB2312" w:cs="仿宋_GB2312"/>
          <w:color w:val="auto"/>
          <w:szCs w:val="32"/>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ascii="仿宋_GB2312" w:hAnsi="仿宋_GB2312" w:eastAsia="仿宋_GB2312" w:cs="仿宋_GB2312"/>
          <w:color w:val="auto"/>
          <w:szCs w:val="32"/>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ascii="仿宋_GB2312" w:hAnsi="仿宋_GB2312" w:eastAsia="仿宋_GB2312" w:cs="仿宋_GB2312"/>
          <w:color w:val="auto"/>
          <w:szCs w:val="32"/>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ascii="仿宋_GB2312" w:hAnsi="仿宋_GB2312" w:eastAsia="仿宋_GB2312" w:cs="仿宋_GB2312"/>
          <w:color w:val="auto"/>
          <w:szCs w:val="32"/>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ascii="仿宋_GB2312" w:hAnsi="仿宋_GB2312" w:eastAsia="仿宋_GB2312" w:cs="仿宋_GB2312"/>
          <w:color w:val="auto"/>
          <w:szCs w:val="32"/>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ascii="仿宋_GB2312" w:hAnsi="仿宋_GB2312" w:eastAsia="仿宋_GB2312" w:cs="仿宋_GB2312"/>
          <w:color w:val="auto"/>
          <w:szCs w:val="32"/>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ascii="仿宋_GB2312" w:hAnsi="仿宋_GB2312" w:eastAsia="仿宋_GB2312" w:cs="仿宋_GB2312"/>
          <w:color w:val="auto"/>
          <w:szCs w:val="32"/>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ascii="仿宋_GB2312" w:hAnsi="仿宋_GB2312" w:eastAsia="仿宋_GB2312" w:cs="仿宋_GB2312"/>
          <w:color w:val="auto"/>
          <w:szCs w:val="32"/>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ascii="仿宋_GB2312" w:hAnsi="仿宋_GB2312" w:eastAsia="仿宋_GB2312" w:cs="仿宋_GB2312"/>
          <w:color w:val="auto"/>
          <w:szCs w:val="32"/>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ascii="仿宋_GB2312" w:hAnsi="仿宋_GB2312" w:eastAsia="仿宋_GB2312" w:cs="仿宋_GB2312"/>
          <w:color w:val="auto"/>
          <w:szCs w:val="32"/>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hint="eastAsia" w:ascii="方正小标宋简体" w:hAnsi="方正小标宋简体" w:eastAsia="方正小标宋简体" w:cs="方正小标宋简体"/>
          <w:color w:val="auto"/>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hint="eastAsia" w:ascii="方正小标宋简体" w:hAnsi="方正小标宋简体" w:eastAsia="方正小标宋简体" w:cs="方正小标宋简体"/>
          <w:color w:val="auto"/>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hint="eastAsia" w:ascii="方正小标宋简体" w:hAnsi="方正小标宋简体" w:eastAsia="方正小标宋简体" w:cs="方正小标宋简体"/>
          <w:color w:val="auto"/>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hint="eastAsia" w:ascii="方正小标宋简体" w:hAnsi="方正小标宋简体" w:eastAsia="方正小标宋简体" w:cs="方正小标宋简体"/>
          <w:color w:val="auto"/>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hint="eastAsia" w:ascii="方正小标宋简体" w:hAnsi="方正小标宋简体" w:eastAsia="方正小标宋简体" w:cs="方正小标宋简体"/>
          <w:color w:val="auto"/>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hint="eastAsia" w:ascii="方正小标宋简体" w:hAnsi="方正小标宋简体" w:eastAsia="方正小标宋简体" w:cs="方正小标宋简体"/>
          <w:color w:val="auto"/>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hint="eastAsia" w:ascii="方正小标宋简体" w:hAnsi="方正小标宋简体" w:eastAsia="方正小标宋简体" w:cs="方正小标宋简体"/>
          <w:color w:val="auto"/>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hint="eastAsia" w:ascii="方正小标宋简体" w:hAnsi="方正小标宋简体" w:eastAsia="方正小标宋简体" w:cs="方正小标宋简体"/>
          <w:color w:val="auto"/>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hint="eastAsia" w:ascii="方正小标宋简体" w:hAnsi="方正小标宋简体" w:eastAsia="方正小标宋简体" w:cs="方正小标宋简体"/>
          <w:color w:val="auto"/>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0"/>
        <w:jc w:val="left"/>
        <w:textAlignment w:val="auto"/>
        <w:rPr>
          <w:rFonts w:hint="eastAsia" w:ascii="方正小标宋简体" w:hAnsi="方正小标宋简体" w:eastAsia="方正小标宋简体" w:cs="方正小标宋简体"/>
          <w:color w:val="auto"/>
          <w:sz w:val="44"/>
          <w:szCs w:val="44"/>
          <w:lang w:eastAsia="zh-CN"/>
        </w:rPr>
      </w:pP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color w:val="auto"/>
        </w:rPr>
      </w:pPr>
    </w:p>
    <w:p>
      <w:pPr>
        <w:keepNext w:val="0"/>
        <w:keepLines w:val="0"/>
        <w:pageBreakBefore w:val="0"/>
        <w:widowControl w:val="0"/>
        <w:kinsoku/>
        <w:wordWrap/>
        <w:overflowPunct/>
        <w:topLinePunct w:val="0"/>
        <w:autoSpaceDE/>
        <w:autoSpaceDN/>
        <w:bidi w:val="0"/>
        <w:adjustRightInd/>
        <w:snapToGrid/>
        <w:ind w:left="316" w:leftChars="100" w:right="316" w:rightChars="100" w:firstLine="0" w:firstLineChars="0"/>
        <w:textAlignment w:val="auto"/>
        <w:rPr>
          <w:rFonts w:hint="eastAsia" w:ascii="仿宋_GB2312" w:eastAsia="仿宋_GB2312"/>
          <w:color w:val="auto"/>
          <w:sz w:val="28"/>
          <w:szCs w:val="28"/>
        </w:rPr>
      </w:pPr>
      <w:r>
        <w:rPr>
          <w:rFonts w:hint="eastAsia"/>
          <w:color w:val="auto"/>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368300</wp:posOffset>
                </wp:positionV>
                <wp:extent cx="5615940" cy="0"/>
                <wp:effectExtent l="0" t="4445" r="0" b="5080"/>
                <wp:wrapNone/>
                <wp:docPr id="3" name="直接连接符 3"/>
                <wp:cNvGraphicFramePr/>
                <a:graphic xmlns:a="http://schemas.openxmlformats.org/drawingml/2006/main">
                  <a:graphicData uri="http://schemas.microsoft.com/office/word/2010/wordprocessingShape">
                    <wps:wsp>
                      <wps:cNvCnPr/>
                      <wps:spPr>
                        <a:xfrm>
                          <a:off x="0" y="0"/>
                          <a:ext cx="5615940" cy="0"/>
                        </a:xfrm>
                        <a:prstGeom prst="line">
                          <a:avLst/>
                        </a:prstGeom>
                        <a:ln w="6350"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29pt;height:0pt;width:442.2pt;z-index:251659264;mso-width-relative:page;mso-height-relative:page;" filled="f" stroked="t" coordsize="21600,21600" o:gfxdata="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O/YN5tMAAAAGAQAADwAAAAAAAAABACAAAAAiAAAAZHJzL2Rvd25yZXYueG1sUEsB&#10;AhQAFAAAAAgAh07iQAL7TDL6AQAA8gMAAA4AAAAAAAAAAQAgAAAAIgEAAGRycy9lMm9Eb2MueG1s&#10;UEsFBgAAAAAGAAYAWQEAAI4FAAAAAA==&#10;">
                <v:fill on="f" focussize="0,0"/>
                <v:stroke weight="0.5pt" color="#000000" joinstyle="round"/>
                <v:imagedata o:title=""/>
                <o:lock v:ext="edit" aspectratio="f"/>
              </v:line>
            </w:pict>
          </mc:Fallback>
        </mc:AlternateContent>
      </w:r>
      <w:r>
        <w:rPr>
          <w:rFonts w:hint="eastAsia"/>
          <w:color w:val="auto"/>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-2540</wp:posOffset>
                </wp:positionV>
                <wp:extent cx="5615940" cy="0"/>
                <wp:effectExtent l="0" t="7620" r="0" b="8255"/>
                <wp:wrapNone/>
                <wp:docPr id="5" name="直接连接符 5"/>
                <wp:cNvGraphicFramePr/>
                <a:graphic xmlns:a="http://schemas.openxmlformats.org/drawingml/2006/main">
                  <a:graphicData uri="http://schemas.microsoft.com/office/word/2010/wordprocessingShape">
                    <wps:wsp>
                      <wps:cNvCnPr/>
                      <wps:spPr>
                        <a:xfrm>
                          <a:off x="0" y="0"/>
                          <a:ext cx="5615940" cy="0"/>
                        </a:xfrm>
                        <a:prstGeom prst="line">
                          <a:avLst/>
                        </a:prstGeom>
                        <a:ln w="1587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0.2pt;height:0pt;width:442.2pt;z-index:251661312;mso-width-relative:page;mso-height-relative:page;" filled="f" stroked="t" coordsize="21600,21600" o:gfxdata="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FPUC5TUAAAABAEAAA8AAAAAAAAAAQAgAAAAIgAAAGRycy9kb3ducmV2LnhtbFBL&#10;AQIUABQAAAAIAIdO4kBARvXA+gEAAPMDAAAOAAAAAAAAAAEAIAAAACMBAABkcnMvZTJvRG9jLnht&#10;bFBLBQYAAAAABgAGAFkBAACPBQAAAAA=&#10;">
                <v:fill on="f" focussize="0,0"/>
                <v:stroke weight="1.25pt" color="#000000" joinstyle="round"/>
                <v:imagedata o:title=""/>
                <o:lock v:ext="edit" aspectratio="f"/>
              </v:line>
            </w:pict>
          </mc:Fallback>
        </mc:AlternateContent>
      </w:r>
      <w:r>
        <w:rPr>
          <w:rFonts w:hint="eastAsia" w:ascii="仿宋_GB2312" w:eastAsia="仿宋_GB2312"/>
          <w:color w:val="auto"/>
          <w:sz w:val="28"/>
          <w:szCs w:val="28"/>
        </w:rPr>
        <w:t xml:space="preserve">山东省人力资源和社会保障厅办公室   </w:t>
      </w:r>
      <w:r>
        <w:rPr>
          <w:rFonts w:hint="eastAsia" w:ascii="仿宋_GB2312" w:eastAsia="仿宋_GB2312"/>
          <w:color w:val="auto"/>
          <w:sz w:val="28"/>
          <w:szCs w:val="28"/>
          <w:lang w:val="en-US" w:eastAsia="zh-CN"/>
        </w:rPr>
        <w:t xml:space="preserve">    </w:t>
      </w:r>
      <w:r>
        <w:rPr>
          <w:rFonts w:hint="eastAsia" w:ascii="仿宋_GB2312" w:eastAsia="仿宋_GB2312"/>
          <w:color w:val="auto"/>
          <w:sz w:val="28"/>
          <w:szCs w:val="28"/>
        </w:rPr>
        <w:t xml:space="preserve"> 202</w:t>
      </w:r>
      <w:r>
        <w:rPr>
          <w:rFonts w:hint="eastAsia" w:ascii="仿宋_GB2312" w:eastAsia="仿宋_GB2312"/>
          <w:color w:val="auto"/>
          <w:sz w:val="28"/>
          <w:szCs w:val="28"/>
          <w:lang w:val="en-US" w:eastAsia="zh-CN"/>
        </w:rPr>
        <w:t>4</w:t>
      </w:r>
      <w:r>
        <w:rPr>
          <w:rFonts w:hint="eastAsia" w:ascii="仿宋_GB2312" w:eastAsia="仿宋_GB2312"/>
          <w:color w:val="auto"/>
          <w:sz w:val="28"/>
          <w:szCs w:val="28"/>
        </w:rPr>
        <w:t>年</w:t>
      </w:r>
      <w:r>
        <w:rPr>
          <w:rFonts w:hint="eastAsia" w:ascii="仿宋_GB2312" w:eastAsia="仿宋_GB2312"/>
          <w:color w:val="auto"/>
          <w:sz w:val="28"/>
          <w:szCs w:val="28"/>
          <w:lang w:val="en-US" w:eastAsia="zh-CN"/>
        </w:rPr>
        <w:t>4</w:t>
      </w:r>
      <w:r>
        <w:rPr>
          <w:rFonts w:hint="eastAsia" w:ascii="仿宋_GB2312" w:eastAsia="仿宋_GB2312"/>
          <w:color w:val="auto"/>
          <w:sz w:val="28"/>
          <w:szCs w:val="28"/>
        </w:rPr>
        <w:t>月</w:t>
      </w:r>
      <w:r>
        <w:rPr>
          <w:rFonts w:hint="eastAsia" w:ascii="仿宋_GB2312" w:eastAsia="仿宋_GB2312"/>
          <w:color w:val="auto"/>
          <w:sz w:val="28"/>
          <w:szCs w:val="28"/>
          <w:lang w:val="en-US" w:eastAsia="zh-CN"/>
        </w:rPr>
        <w:t>17</w:t>
      </w:r>
      <w:r>
        <w:rPr>
          <w:rFonts w:hint="eastAsia" w:ascii="仿宋_GB2312" w:eastAsia="仿宋_GB2312"/>
          <w:color w:val="auto"/>
          <w:sz w:val="28"/>
          <w:szCs w:val="28"/>
        </w:rPr>
        <w:t>日印发</w:t>
      </w:r>
    </w:p>
    <w:p>
      <w:pPr>
        <w:keepNext w:val="0"/>
        <w:keepLines w:val="0"/>
        <w:pageBreakBefore w:val="0"/>
        <w:widowControl w:val="0"/>
        <w:kinsoku/>
        <w:wordWrap/>
        <w:overflowPunct/>
        <w:topLinePunct w:val="0"/>
        <w:autoSpaceDE/>
        <w:autoSpaceDN/>
        <w:bidi w:val="0"/>
        <w:adjustRightInd/>
        <w:snapToGrid/>
        <w:ind w:left="316" w:leftChars="100" w:right="316" w:rightChars="100" w:firstLine="0" w:firstLineChars="0"/>
        <w:textAlignment w:val="auto"/>
        <w:rPr>
          <w:rFonts w:hint="default" w:ascii="仿宋_GB2312" w:eastAsia="仿宋_GB2312"/>
          <w:bCs/>
          <w:color w:val="auto"/>
          <w:sz w:val="32"/>
          <w:szCs w:val="32"/>
          <w:highlight w:val="none"/>
          <w:lang w:val="en-US" w:eastAsia="zh-CN"/>
        </w:rPr>
      </w:pPr>
      <w:r>
        <w:rPr>
          <w:rFonts w:hint="eastAsia"/>
          <w:color w:val="auto"/>
        </w:rPr>
        <mc:AlternateContent>
          <mc:Choice Requires="wps">
            <w:drawing>
              <wp:anchor distT="0" distB="0" distL="114300" distR="114300" simplePos="0" relativeHeight="251660288" behindDoc="0" locked="0" layoutInCell="1" allowOverlap="0">
                <wp:simplePos x="0" y="0"/>
                <wp:positionH relativeFrom="column">
                  <wp:posOffset>0</wp:posOffset>
                </wp:positionH>
                <wp:positionV relativeFrom="paragraph">
                  <wp:posOffset>364490</wp:posOffset>
                </wp:positionV>
                <wp:extent cx="5615940" cy="0"/>
                <wp:effectExtent l="0" t="7620" r="0" b="8255"/>
                <wp:wrapNone/>
                <wp:docPr id="4" name="直接连接符 4"/>
                <wp:cNvGraphicFramePr/>
                <a:graphic xmlns:a="http://schemas.openxmlformats.org/drawingml/2006/main">
                  <a:graphicData uri="http://schemas.microsoft.com/office/word/2010/wordprocessingShape">
                    <wps:wsp>
                      <wps:cNvCnPr/>
                      <wps:spPr>
                        <a:xfrm>
                          <a:off x="0" y="0"/>
                          <a:ext cx="5615940" cy="0"/>
                        </a:xfrm>
                        <a:prstGeom prst="line">
                          <a:avLst/>
                        </a:prstGeom>
                        <a:ln w="1587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28.7pt;height:0pt;width:442.2pt;z-index:251660288;mso-width-relative:page;mso-height-relative:page;" filled="f" stroked="t" coordsize="21600,21600" o:allowoverlap="f" o:gfxdata="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3PNPmdUAAAAGAQAADwAAAAAAAAABACAAAAAiAAAAZHJzL2Rvd25yZXYueG1s&#10;UEsBAhQAFAAAAAgAh07iQA1rPob7AQAA8wMAAA4AAAAAAAAAAQAgAAAAJAEAAGRycy9lMm9Eb2Mu&#10;eG1sUEsFBgAAAAAGAAYAWQEAAJEFAAAAAA==&#10;">
                <v:fill on="f" focussize="0,0"/>
                <v:stroke weight="1.25pt" color="#000000" joinstyle="round"/>
                <v:imagedata o:title=""/>
                <o:lock v:ext="edit" aspectratio="f"/>
              </v:line>
            </w:pict>
          </mc:Fallback>
        </mc:AlternateContent>
      </w:r>
      <w:r>
        <w:rPr>
          <w:rFonts w:hint="eastAsia" w:ascii="仿宋_GB2312" w:eastAsia="仿宋_GB2312"/>
          <w:color w:val="auto"/>
          <w:sz w:val="28"/>
          <w:szCs w:val="28"/>
        </w:rPr>
        <w:t>校核人：于金</w:t>
      </w:r>
    </w:p>
    <w:sectPr>
      <w:pgSz w:w="11906" w:h="16838"/>
      <w:pgMar w:top="2098" w:right="1531" w:bottom="1814" w:left="1531" w:header="851" w:footer="1587" w:gutter="0"/>
      <w:cols w:space="0" w:num="1"/>
      <w:rtlGutter w:val="0"/>
      <w:docGrid w:type="linesAndChars" w:linePitch="587"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HorizontalSpacing w:val="158"/>
  <w:drawingGridVerticalSpacing w:val="294"/>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JjMTlmOWI2YjliZGRhZDkwNTU2OGJkNmFkYTU0YzAifQ=="/>
  </w:docVars>
  <w:rsids>
    <w:rsidRoot w:val="00000000"/>
    <w:rsid w:val="009D0269"/>
    <w:rsid w:val="01DF71A0"/>
    <w:rsid w:val="04A62F96"/>
    <w:rsid w:val="079770BB"/>
    <w:rsid w:val="0DE238DD"/>
    <w:rsid w:val="105A78F5"/>
    <w:rsid w:val="138E0612"/>
    <w:rsid w:val="13D61C56"/>
    <w:rsid w:val="14224495"/>
    <w:rsid w:val="1A274FE8"/>
    <w:rsid w:val="1F041D86"/>
    <w:rsid w:val="213F07EF"/>
    <w:rsid w:val="21F51082"/>
    <w:rsid w:val="26732401"/>
    <w:rsid w:val="2A1017E3"/>
    <w:rsid w:val="2E6F3C92"/>
    <w:rsid w:val="2EC94F91"/>
    <w:rsid w:val="32892287"/>
    <w:rsid w:val="32941ABA"/>
    <w:rsid w:val="34C44F2B"/>
    <w:rsid w:val="358C47BE"/>
    <w:rsid w:val="37327372"/>
    <w:rsid w:val="39051FA7"/>
    <w:rsid w:val="39E4179A"/>
    <w:rsid w:val="3C7466B9"/>
    <w:rsid w:val="3DCD3932"/>
    <w:rsid w:val="3FEF7E6F"/>
    <w:rsid w:val="414B2B3B"/>
    <w:rsid w:val="445E014A"/>
    <w:rsid w:val="46A43C7B"/>
    <w:rsid w:val="496757A4"/>
    <w:rsid w:val="4AF92748"/>
    <w:rsid w:val="4E2379F3"/>
    <w:rsid w:val="51613138"/>
    <w:rsid w:val="5204758E"/>
    <w:rsid w:val="532C32B6"/>
    <w:rsid w:val="551744D7"/>
    <w:rsid w:val="55BDBC4A"/>
    <w:rsid w:val="5B956D6C"/>
    <w:rsid w:val="5BDF2D9D"/>
    <w:rsid w:val="5CFC6D80"/>
    <w:rsid w:val="5FB60F06"/>
    <w:rsid w:val="606D02FD"/>
    <w:rsid w:val="61AB4628"/>
    <w:rsid w:val="62AE2374"/>
    <w:rsid w:val="643C59AE"/>
    <w:rsid w:val="696B1F06"/>
    <w:rsid w:val="6A980D42"/>
    <w:rsid w:val="6B612D6B"/>
    <w:rsid w:val="6BD233DD"/>
    <w:rsid w:val="6F1D0911"/>
    <w:rsid w:val="70990F5D"/>
    <w:rsid w:val="70EB5E3C"/>
    <w:rsid w:val="737F7D82"/>
    <w:rsid w:val="73BE1323"/>
    <w:rsid w:val="75035207"/>
    <w:rsid w:val="775720AD"/>
    <w:rsid w:val="7795080B"/>
    <w:rsid w:val="77FF2D07"/>
    <w:rsid w:val="795B0B2E"/>
    <w:rsid w:val="7F2C45CC"/>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32"/>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index 6"/>
    <w:basedOn w:val="1"/>
    <w:next w:val="1"/>
    <w:qFormat/>
    <w:uiPriority w:val="0"/>
    <w:pPr>
      <w:ind w:left="1000" w:leftChars="100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Pages>
  <Words>1889</Words>
  <Characters>1901</Characters>
  <Lines>0</Lines>
  <Paragraphs>0</Paragraphs>
  <TotalTime>147</TotalTime>
  <ScaleCrop>false</ScaleCrop>
  <LinksUpToDate>false</LinksUpToDate>
  <CharactersWithSpaces>1955</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2023-09-18T00:13:00Z</dcterms:created>
  <dc:creator>yuj</dc:creator>
  <cp:lastModifiedBy>LTGX03</cp:lastModifiedBy>
  <cp:lastPrinted>2023-12-03T23:12:00Z</cp:lastPrinted>
  <dcterms:modified xsi:type="dcterms:W3CDTF">2024-04-17T00:33:34Z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B754C37DDE104C6CA753ACB7E58FDA74_13</vt:lpwstr>
  </property>
</Properties>
</file>