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eastAsia="宋体"/>
          <w:lang w:eastAsia="zh-CN"/>
        </w:rPr>
      </w:pPr>
    </w:p>
    <w:p>
      <w:pPr>
        <w:jc w:val="center"/>
        <w:rPr>
          <w:rFonts w:eastAsia="方正小标宋简体"/>
          <w:color w:val="auto"/>
          <w:spacing w:val="-8"/>
        </w:rPr>
      </w:pPr>
    </w:p>
    <w:p>
      <w:pPr>
        <w:jc w:val="center"/>
        <w:rPr>
          <w:rFonts w:eastAsia="方正小标宋简体"/>
          <w:color w:val="auto"/>
          <w:spacing w:val="-8"/>
        </w:rPr>
      </w:pPr>
    </w:p>
    <w:p>
      <w:pPr>
        <w:jc w:val="center"/>
        <w:rPr>
          <w:rFonts w:ascii="仿宋_GB2312" w:hAnsi="仿宋_GB2312" w:eastAsia="仿宋_GB2312" w:cs="仿宋_GB2312"/>
          <w:color w:val="auto"/>
          <w:spacing w:val="-8"/>
        </w:rPr>
      </w:pPr>
      <w:r>
        <w:rPr>
          <w:rFonts w:hint="eastAsia" w:ascii="仿宋_GB2312" w:hAnsi="仿宋_GB2312" w:eastAsia="仿宋_GB2312" w:cs="仿宋_GB2312"/>
          <w:color w:val="auto"/>
          <w:spacing w:val="-8"/>
        </w:rPr>
        <w:t>鲁人社字〔2024〕</w:t>
      </w:r>
      <w:r>
        <w:rPr>
          <w:rFonts w:hint="eastAsia" w:ascii="仿宋_GB2312" w:hAnsi="仿宋_GB2312" w:eastAsia="仿宋_GB2312" w:cs="仿宋_GB2312"/>
          <w:color w:val="auto"/>
          <w:spacing w:val="-8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pacing w:val="-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textAlignment w:val="auto"/>
        <w:outlineLvl w:val="9"/>
        <w:rPr>
          <w:rFonts w:eastAsia="方正小标宋简体"/>
          <w:color w:val="auto"/>
          <w:spacing w:val="-8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山东省人力资源和社会保障厅等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部门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关于印发山东省技工院校办学条件达标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工程实施方案的通知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各市人力资源社会保障局、发展改革委、教育局、财政局、住房城乡建设局，各省属技工院校：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现将《山东省技工院校办学条件达标工程实施方案》印发给你们，请结合实际认真贯彻执行。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1"/>
        <w:tblW w:w="9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3021"/>
        <w:gridCol w:w="3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山东省人力资源和社会保障厅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山东省发展和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改革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eastAsia="zh-CN" w:bidi="ar-SA"/>
              </w:rPr>
              <w:t>委员会</w:t>
            </w:r>
          </w:p>
        </w:tc>
        <w:tc>
          <w:tcPr>
            <w:tcW w:w="302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山东省教育厅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11"/>
        <w:tblW w:w="9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2"/>
        <w:gridCol w:w="4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山东省财政厅</w:t>
            </w:r>
          </w:p>
        </w:tc>
        <w:tc>
          <w:tcPr>
            <w:tcW w:w="4532" w:type="dxa"/>
            <w:tcBorders>
              <w:tl2br w:val="nil"/>
              <w:tr2bl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山东省住房和城乡建设厅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372" w:firstLineChars="17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2024年5月9日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 （此件主动公开）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 xml:space="preserve">    （联系单位：省人力资源社会保障厅职业能力处）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3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0"/>
        <w:jc w:val="center"/>
        <w:textAlignment w:val="auto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br w:type="page"/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山东省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技工院校</w:t>
      </w: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办学条件达标工程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实施方案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为加快改善我省技工院校办学条件，提升技工教育办学质量，按照《教育部等五部门关于印发〈职业学校办学条件达标工程实施方案〉的通知》（教职成〔2022〕5号）文件要求，结合我省实际，制定本实施方案。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一、总体要求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（一）总体目标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通过科学规划、合理调整，持续加大省市县三级政策和投入供给，技工院校布局结构进一步优化，办学条件明显改善，师资队伍水平整体提升，技工教育办学质量、适应性和吸引力进一步增强。全省技工院校办学条件重点监测指标全部达标的学校比例，到2024年底达到85%以上，到2025年底达到90%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省级统筹，市县为主。省级统筹组织实施办学条件达标工程，压实学校举办者主体责任，行业举办部门和市县两级按照“谁举办、谁负责”的原则，加强所属技工院校办学条件达标工作的指导监督和过程监测。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规划先行，分类推进。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统筹考虑各地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教育发展趋势，人口规模和学校办学规模，优化布局结构，科学编制达标工作方案，一地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案，一校一策分类实施，分步推进，强化激励考核。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固基提质，重点突破。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推动高质量达标，因地制宜重点突破，对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充分考虑地方和学校实际，逐地逐校找准差距，以服务教学为中心，基础设施建设与内涵提升建设并重，聚焦土地，校舍，教室，设备等关键应用要素，有效补齐短板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提升办学条件。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二、工作任务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（一）整合资源优化布局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结合区域经济社会发展需求，各级统筹区域内技工院校教育资源，采取合并、集团化办学、终止办学等形式，优化技工院校布局。对于连续三年未招生，没有实际办学场地的技工院校终止办学，终止办学的学校要及时关闭学籍系统账号，不再纳入年报统计，实时撤销组织机构。在教育资源投入中，优先保障技工院校基本办学条件达标工作。对办学质量差、社会不认可、各项指标严重不达标的学校要依法进行合并或终止办学。对拟开展集团化办学的学校，推动加快校园、校舍、师资、仪器设备等方面实质性共建共享，并整体考核办学条件；对拟合并的学校，学校所在市根据相关规定及时变更备案信息；对拟终止办学的学校，关闭学籍系统账号，适时撤销组织机构，并做好师生安置工作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（二）加强学校基础设施建设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各市在制定教育用地规划时向技工院校倾斜，在用地指标达标的前提下大力加强技工院校基础设施建设，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按规定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简化技工院校新建或改扩建增容建设项目审批程序，支持技工院校尽快补齐土地、校舍缺口和解决历史遗留问题。对于技工院校的校园占地和校舍建筑，院校的独立产权部分应不少于30%，不足部分可采取独立使用非产权面积补充，补充的独立使用非产权面积使用保持相对稳定，使用期限不少于三年，应以协议或补充协议等方式加以保障，并在当地政府主管部门审核备案。学校举办者应切实履行出资责任，持续加大投入，加强技工院校基础设施建设，全面消除危房，按照规定标准建设学校校舍、教室和实训场所。各学校按照国家、地方相关标准，科学制定和落实学校事业发展规划，确保学校基础设施与办学规模相适应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（三）优化学校师资队伍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加强技工院校教师配备，技工学校、高级技工学校学制教育师生比不低于1：20,技师学院学制教育师生比不低于1：18，各类技工学校兼职教师人数不超过教师总数的 1/3。落实技工院校选人用人自主权，在教师招聘、教师待遇、职称评聘等方面，允许学校自主设置岗位，自主确定用人计划、自主确定招考标准、内容和程序。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落实技工院校20%编制员额内自主招聘兼职教师政策，鼓励院校按规定招聘世赛、国赛及国家级行业赛等优秀获奖选手并重点培养。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实施步骤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32" w:firstLineChars="200"/>
        <w:jc w:val="left"/>
        <w:textAlignment w:val="auto"/>
        <w:outlineLvl w:val="9"/>
        <w:rPr>
          <w:rStyle w:val="13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13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（一）方案制定阶段（2024年</w:t>
      </w:r>
      <w:r>
        <w:rPr>
          <w:rStyle w:val="13"/>
          <w:rFonts w:hint="default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5</w:t>
      </w:r>
      <w:r>
        <w:rPr>
          <w:rStyle w:val="13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月-2024年</w:t>
      </w:r>
      <w:r>
        <w:rPr>
          <w:rStyle w:val="13"/>
          <w:rFonts w:hint="default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6</w:t>
      </w:r>
      <w:r>
        <w:rPr>
          <w:rStyle w:val="13"/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月）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照《教育部等五部门关于印发〈职业学校办学条件达标工程实施方案〉的通知》（教职成〔2022〕5号）中的技工院校办学条件重点监测指标，认真排查技工院校办学条件存在的不足和差距，以问题为导向，省级、市级、县级和技工学校四级联动，制定实施方案和措施办法，明确时间表，路线图和工作台账。同时全面启动实施技工院校办学条件达标工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（二）工作推进阶段（2024年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7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月-2025年12月）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市人力资源社会保障局指导属地技工院校，对照技工学校办学条件重点监测指标，对本校办学条件进行自查自评，自评达标的，报各市人力资源社会保障局评估；自评不达标的，按照“缺什么、补什么”的原则，对不达标的指标项目逐项提出整改方案，报各市人力资源社会保障局，并抓紧整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（三）整改验收阶段（202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4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eastAsia="zh-CN" w:bidi="ar-SA"/>
        </w:rPr>
        <w:t>9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月-2025年12月）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人力资源社会保障厅会同各市人力资源社会保障局组建专家团队，对各校达标情况进行评估，建立达标工程调度机制，通报达标进展，对技工院校办学条件达标情况按季度进行调度，确保2024年底达标85%以上，2025年底达标90%以上。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经整改达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到标准的，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技工院校向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各市人力资源社会保障局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各行业主管部门提出整改验收申请，各市人力资源社会保障局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各行业主管部门实地验收后予以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销号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省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厅组织专家对各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技工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院校达标情况进行整改抽查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Style w:val="13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保障措施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高度重视，统筹规划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达标工程是技工教育改善条件、提升质量的难得机遇，各级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人力资源社会保障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部门、各技工院校要深刻领会达标工程的重大意义，高度重视，加强组织领导，科学合理规划，加快推进实施，省人力资源社会保障厅牵头建立达标工作调度机制，对技工院校办学条件达标情况按季度进行调度。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default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分级负担、落实责任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按照“谁主办、谁负责”的原则，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各技工院校主办单位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技工院校办学条件达标工作的责任主体，要将办学条件达标工作作为今后几年技工教育工作的重点任务之一，及时协调解决项目立项、经费支持、土地审批、教师队伍建设等重点问题，保证技工院校办学条件达标工作顺利推进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（三）加大投入、强化保障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财政部门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统筹技工教育发展资金、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现代职业教育质量提升计划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中央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资金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等专项资金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支持提升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技工院校办学条件。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发展改革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部门</w:t>
      </w:r>
      <w:r>
        <w:rPr>
          <w:rFonts w:hint="default" w:ascii="仿宋_GB2312" w:hAnsi="Times New Roman" w:eastAsia="仿宋_GB2312" w:cs="Times New Roman"/>
          <w:color w:val="auto"/>
          <w:kern w:val="2"/>
          <w:sz w:val="32"/>
          <w:szCs w:val="32"/>
          <w:lang w:eastAsia="zh-CN" w:bidi="ar-SA"/>
        </w:rPr>
        <w:t>争取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中央投资支持改善技工院校办学条件。各技工院校要用足用好政策资金，在保障学校正常运行经费基础上，把支持学校发展的资金更多用于办学条件达标工作。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（四）加强考核，重点激励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建立办学条件预警通报制度，开展办学条件核心指标清查复核。对预警通报整改未到位的，将严格调控专业设置、调减招生计划直至暂停招生资格，并逐步向社会公开达标情况，依法接受社会监督。将办学条件达标情况作为重要依据，对办学条件达标的，将在省级项目、资金、招生、评优评先等方面给予政策扶持。对2025年底仍未达标的学校，将采取调减招生计划直至暂停招生资质等措施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联系人：省人力资源社会保障厅职业能力建设处 于金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联系电话：0531—51788150</w:t>
      </w:r>
    </w:p>
    <w:p>
      <w:pPr>
        <w:pStyle w:val="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电子邮箱：yujrst@shandong.cn。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747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  <w:r>
        <w:rPr>
          <w:color w:val="auto"/>
        </w:rPr>
        <w:t>附件：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技工院校</w:t>
      </w:r>
      <w:r>
        <w:rPr>
          <w:rFonts w:hint="eastAsia" w:ascii="仿宋_GB2312" w:hAnsi="仿宋_GB2312" w:eastAsia="仿宋_GB2312" w:cs="仿宋_GB2312"/>
          <w:color w:val="auto"/>
        </w:rPr>
        <w:t>办学条件重点监测指标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707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spacing w:before="116" w:line="240" w:lineRule="auto"/>
        <w:ind w:left="1707" w:right="0"/>
        <w:jc w:val="left"/>
        <w:rPr>
          <w:rFonts w:hint="eastAsia" w:ascii="仿宋_GB2312" w:hAnsi="仿宋_GB2312" w:eastAsia="仿宋_GB2312" w:cs="仿宋_GB2312"/>
          <w:color w:val="auto"/>
        </w:rPr>
      </w:pPr>
    </w:p>
    <w:p>
      <w:pPr>
        <w:pStyle w:val="5"/>
        <w:spacing w:before="116" w:line="240" w:lineRule="auto"/>
        <w:ind w:left="1707" w:right="0" w:firstLine="2528" w:firstLineChars="800"/>
        <w:jc w:val="left"/>
        <w:rPr>
          <w:rFonts w:hint="eastAsia" w:cs="仿宋_GB2312"/>
          <w:color w:val="auto"/>
          <w:lang w:val="en-US" w:eastAsia="zh-CN"/>
        </w:rPr>
      </w:pPr>
    </w:p>
    <w:p>
      <w:pPr>
        <w:pStyle w:val="5"/>
        <w:spacing w:before="116" w:line="240" w:lineRule="auto"/>
        <w:ind w:left="1707" w:right="0"/>
        <w:jc w:val="left"/>
        <w:rPr>
          <w:rFonts w:hint="default" w:cs="仿宋_GB2312"/>
          <w:color w:val="auto"/>
          <w:lang w:val="en-US" w:eastAsia="zh-CN"/>
        </w:rPr>
      </w:pPr>
    </w:p>
    <w:p>
      <w:pPr>
        <w:spacing w:after="0" w:line="240" w:lineRule="auto"/>
        <w:jc w:val="left"/>
        <w:rPr>
          <w:color w:val="auto"/>
        </w:rPr>
        <w:sectPr>
          <w:footerReference r:id="rId3" w:type="default"/>
          <w:pgSz w:w="11910" w:h="16840"/>
          <w:pgMar w:top="2098" w:right="1531" w:bottom="1814" w:left="1531" w:header="0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587" w:charSpace="-820"/>
        </w:sectPr>
      </w:pPr>
    </w:p>
    <w:p>
      <w:pPr>
        <w:pStyle w:val="5"/>
        <w:spacing w:before="1" w:line="240" w:lineRule="auto"/>
        <w:ind w:left="0" w:leftChars="0" w:right="0" w:firstLine="0" w:firstLineChars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zCs w:val="20"/>
        </w:rPr>
      </w:pPr>
      <w:r>
        <w:rPr>
          <w:rFonts w:ascii="黑体" w:hAnsi="黑体" w:eastAsia="黑体" w:cs="黑体"/>
          <w:color w:val="auto"/>
          <w:spacing w:val="0"/>
        </w:rPr>
        <w:t xml:space="preserve">附件 </w:t>
      </w:r>
    </w:p>
    <w:p>
      <w:pPr>
        <w:spacing w:before="9" w:line="240" w:lineRule="auto"/>
        <w:rPr>
          <w:rFonts w:ascii="Times New Roman" w:hAnsi="Times New Roman" w:eastAsia="Times New Roman" w:cs="Times New Roman"/>
          <w:color w:val="auto"/>
          <w:spacing w:val="0"/>
          <w:sz w:val="26"/>
          <w:szCs w:val="26"/>
        </w:rPr>
      </w:pPr>
    </w:p>
    <w:p>
      <w:pPr>
        <w:pStyle w:val="4"/>
        <w:spacing w:line="568" w:lineRule="exact"/>
        <w:ind w:right="0"/>
        <w:jc w:val="center"/>
        <w:rPr>
          <w:rFonts w:ascii="方正小标宋_GBK" w:hAnsi="方正小标宋_GBK" w:eastAsia="方正小标宋_GBK" w:cs="方正小标宋_GBK"/>
          <w:color w:val="auto"/>
          <w:spacing w:val="0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lang w:val="en-US" w:eastAsia="zh-CN"/>
        </w:rPr>
        <w:t>技工院校</w:t>
      </w:r>
      <w:r>
        <w:rPr>
          <w:rFonts w:ascii="方正小标宋_GBK" w:hAnsi="方正小标宋_GBK" w:eastAsia="方正小标宋_GBK" w:cs="方正小标宋_GBK"/>
          <w:color w:val="auto"/>
          <w:spacing w:val="0"/>
        </w:rPr>
        <w:t>办学条件重点监测指标</w:t>
      </w:r>
    </w:p>
    <w:p>
      <w:pPr>
        <w:spacing w:before="14" w:line="24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技工学校以《人力资源和社会保障部关于印发技工院校设置标准(试行)的通知》(人社部发〔20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2〕8号)的各项要求为标准。重点监测指标3类。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校园建设。技工学校校园占地面积不少于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平方米,校舍建筑面积不少于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平方米,生均校舍建筑面积不少于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高级技工学校校园占地面积不少于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66000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平方米,校舍建筑面积不少于50000平方米。技师学院校园占地面积不少于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平方米,校舍建筑面积不少于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。技工学校、高级技工学校学制教育师生比不低于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,技师学院学制教育师生比不低于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18。各类技工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兼职教师人数不超过教师总数的1/3。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仪器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。技工学校实习、实验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总值不少于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万元。高级技工学校实习、实验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总值不少于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1500万元。技师学院实习、实验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总值不少于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392" w:firstLineChars="200"/>
        <w:textAlignment w:val="auto"/>
        <w:rPr>
          <w:rFonts w:ascii="Times New Roman" w:hAnsi="Times New Roman" w:eastAsia="Times New Roman" w:cs="Times New Roman"/>
          <w:color w:val="auto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</w:rPr>
      </w:pPr>
    </w:p>
    <w:p>
      <w:pPr>
        <w:spacing w:before="0" w:line="240" w:lineRule="auto"/>
        <w:rPr>
          <w:rFonts w:ascii="Times New Roman" w:hAnsi="Times New Roman" w:eastAsia="Times New Roman" w:cs="Times New Roman"/>
          <w:color w:val="auto"/>
          <w:sz w:val="20"/>
          <w:szCs w:val="20"/>
        </w:rPr>
        <w:sectPr>
          <w:pgSz w:w="11906" w:h="16838"/>
          <w:pgMar w:top="2098" w:right="1531" w:bottom="1814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587" w:charSpace="-849"/>
        </w:sectPr>
      </w:pP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ind w:left="0" w:leftChars="0" w:firstLine="632"/>
        <w:rPr>
          <w:rFonts w:ascii="仿宋_GB2312" w:hAnsi="仿宋" w:eastAsia="仿宋_GB2312"/>
          <w:color w:val="auto"/>
        </w:rPr>
      </w:pPr>
    </w:p>
    <w:p>
      <w:pPr>
        <w:widowControl/>
        <w:ind w:left="316" w:leftChars="100" w:right="316" w:rightChars="1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1594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0pt;width:442.2pt;z-index:251661312;mso-width-relative:page;mso-height-relative:page;" filled="f" stroked="t" coordsize="21600,21600" o:gfxdata="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qOgM7SAAAAAgEAAA8AAAAAAAAAAQAgAAAAIgAAAGRycy9kb3ducmV2LnhtbFBLAQIUABQAAAAI&#10;AIdO4kDMdywi8wEAAOcDAAAOAAAAAAAAAAEAIAAAACE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山东省人力资源和社会保障厅办公室         2024年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>
      <w:pPr>
        <w:widowControl/>
        <w:ind w:left="316" w:leftChars="100" w:right="316" w:rightChars="100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364490</wp:posOffset>
                </wp:positionV>
                <wp:extent cx="5615940" cy="0"/>
                <wp:effectExtent l="0" t="0" r="0" b="0"/>
                <wp:wrapNone/>
                <wp:docPr id="4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28.7pt;height:0pt;width:442.2pt;z-index:251662336;mso-width-relative:page;mso-height-relative:page;" filled="f" stroked="t" coordsize="21600,21600" o:gfxdata="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zzT5nVAAAABgEAAA8AAAAAAAAAAQAgAAAAIgAAAGRycy9kb3ducmV2LnhtbFBLAQIUABQA&#10;AAAIAIdO4kDjx4Nl8wEAAOcDAAAOAAAAAAAAAAEAIAAAACQBAABkcnMvZTJvRG9jLnhtbFBLBQYA&#10;AAAABgAGAFkBAACJ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15940" cy="0"/>
                <wp:effectExtent l="0" t="0" r="0" b="0"/>
                <wp:wrapNone/>
                <wp:docPr id="5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0pt;margin-top:0.2pt;height:0pt;width:442.2pt;z-index:251660288;mso-width-relative:page;mso-height-relative:page;" filled="f" stroked="t" coordsize="21600,21600" o:gfxdata="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7u9eo&#10;0AAAAAIBAAAPAAAAAAAAAAEAIAAAACIAAABkcnMvZG93bnJldi54bWxQSwECFAAUAAAACACHTuJA&#10;9TClD/ABAADmAwAADgAAAAAAAAABACAAAAAfAQAAZHJzL2Uyb0RvYy54bWxQSwUGAAAAAAYABgBZ&#10;AQAAg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校核人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:于金</w:t>
      </w:r>
    </w:p>
    <w:sectPr>
      <w:pgSz w:w="11906" w:h="16838"/>
      <w:pgMar w:top="2098" w:right="1531" w:bottom="181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E31D9"/>
    <w:multiLevelType w:val="singleLevel"/>
    <w:tmpl w:val="F79E31D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a1ed74f7-5395-4e84-8e6b-7b899ffdd4f6"/>
  </w:docVars>
  <w:rsids>
    <w:rsidRoot w:val="00000000"/>
    <w:rsid w:val="00F1382B"/>
    <w:rsid w:val="03E05132"/>
    <w:rsid w:val="04A1619E"/>
    <w:rsid w:val="073BB790"/>
    <w:rsid w:val="08CF26E4"/>
    <w:rsid w:val="094006F5"/>
    <w:rsid w:val="0A2F5054"/>
    <w:rsid w:val="0F540991"/>
    <w:rsid w:val="13BA0606"/>
    <w:rsid w:val="15656EE8"/>
    <w:rsid w:val="17CF5471"/>
    <w:rsid w:val="180D1B2D"/>
    <w:rsid w:val="1CD42665"/>
    <w:rsid w:val="1FF10134"/>
    <w:rsid w:val="21B21A0C"/>
    <w:rsid w:val="25A55204"/>
    <w:rsid w:val="27456EA2"/>
    <w:rsid w:val="27770C4F"/>
    <w:rsid w:val="278D45E8"/>
    <w:rsid w:val="2909292B"/>
    <w:rsid w:val="29EF7BE4"/>
    <w:rsid w:val="2A1755B3"/>
    <w:rsid w:val="2ACF0D28"/>
    <w:rsid w:val="2B021973"/>
    <w:rsid w:val="2BC96CBD"/>
    <w:rsid w:val="2C1C546D"/>
    <w:rsid w:val="2D397F4C"/>
    <w:rsid w:val="2DA67076"/>
    <w:rsid w:val="31103C4D"/>
    <w:rsid w:val="33100E4C"/>
    <w:rsid w:val="35591AEB"/>
    <w:rsid w:val="35CA61D7"/>
    <w:rsid w:val="36EF60F4"/>
    <w:rsid w:val="38F47728"/>
    <w:rsid w:val="38FB75CB"/>
    <w:rsid w:val="3EDF20BA"/>
    <w:rsid w:val="3FFD7DC7"/>
    <w:rsid w:val="4871624D"/>
    <w:rsid w:val="4AAA7CA0"/>
    <w:rsid w:val="4DE47C64"/>
    <w:rsid w:val="51630135"/>
    <w:rsid w:val="53F513AF"/>
    <w:rsid w:val="543C39B1"/>
    <w:rsid w:val="55ED554E"/>
    <w:rsid w:val="571870F2"/>
    <w:rsid w:val="5733291A"/>
    <w:rsid w:val="577E0212"/>
    <w:rsid w:val="58126E36"/>
    <w:rsid w:val="62AB1DF9"/>
    <w:rsid w:val="65FF1CA3"/>
    <w:rsid w:val="684D0E00"/>
    <w:rsid w:val="68640891"/>
    <w:rsid w:val="69C80F4E"/>
    <w:rsid w:val="6BECACE6"/>
    <w:rsid w:val="6E6F1233"/>
    <w:rsid w:val="73D15FC7"/>
    <w:rsid w:val="754912D8"/>
    <w:rsid w:val="76EF2169"/>
    <w:rsid w:val="7815120D"/>
    <w:rsid w:val="7AC8C24F"/>
    <w:rsid w:val="7BFFD68E"/>
    <w:rsid w:val="7D0D2C79"/>
    <w:rsid w:val="7DF42FBE"/>
    <w:rsid w:val="7EB86C3B"/>
    <w:rsid w:val="97DD5198"/>
    <w:rsid w:val="9F4E0A23"/>
    <w:rsid w:val="DBFF7862"/>
    <w:rsid w:val="E7AF665C"/>
    <w:rsid w:val="F5BB7A93"/>
    <w:rsid w:val="F93EFF91"/>
    <w:rsid w:val="FEF7942B"/>
    <w:rsid w:val="FFFA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111"/>
      <w:outlineLvl w:val="1"/>
    </w:pPr>
    <w:rPr>
      <w:rFonts w:ascii="方正小标宋简体" w:hAnsi="方正小标宋简体" w:eastAsia="方正小标宋简体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qFormat/>
    <w:uiPriority w:val="1"/>
    <w:pPr>
      <w:spacing w:before="117"/>
      <w:ind w:left="107"/>
    </w:pPr>
    <w:rPr>
      <w:rFonts w:ascii="仿宋_GB2312" w:hAnsi="仿宋_GB2312" w:eastAsia="仿宋_GB2312"/>
      <w:sz w:val="32"/>
      <w:szCs w:val="32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3262</Words>
  <Characters>3403</Characters>
  <Lines>0</Lines>
  <Paragraphs>0</Paragraphs>
  <TotalTime>0</TotalTime>
  <ScaleCrop>false</ScaleCrop>
  <LinksUpToDate>false</LinksUpToDate>
  <CharactersWithSpaces>3430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2023-09-05T14:12:00Z</dcterms:created>
  <dc:creator>yuj</dc:creator>
  <cp:lastModifiedBy>婁超羣</cp:lastModifiedBy>
  <cp:lastPrinted>2024-04-05T09:55:00Z</cp:lastPrinted>
  <dcterms:modified xsi:type="dcterms:W3CDTF">2024-05-31T08:23:54Z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8E72742568D44A30953A2DD9E178B94A_12</vt:lpwstr>
  </property>
</Properties>
</file>