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鲁人社函〔2024〕32号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山东省人力资源社会保障厅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关于印发《山东省工伤保险异地就医直接结算经办规程》的通知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rPr>
        <w:t>现将《山东省工伤保险异地就医直接结算经办规程》</w:t>
      </w:r>
      <w:r>
        <w:rPr>
          <w:rFonts w:hint="eastAsia" w:ascii="仿宋_GB2312" w:eastAsia="仿宋_GB2312"/>
          <w:color w:val="auto"/>
          <w:sz w:val="32"/>
          <w:szCs w:val="32"/>
          <w:shd w:val="clear" w:color="auto" w:fill="FFFFFF"/>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2024年3月</w:t>
      </w:r>
      <w:r>
        <w:rPr>
          <w:rFonts w:hint="eastAsia" w:ascii="仿宋_GB2312" w:eastAsia="仿宋_GB2312"/>
          <w:color w:val="auto"/>
          <w:sz w:val="32"/>
          <w:szCs w:val="32"/>
          <w:shd w:val="clear" w:color="auto" w:fill="FFFFFF"/>
          <w:lang w:val="en-US" w:eastAsia="zh-CN"/>
        </w:rPr>
        <w:t>29</w:t>
      </w:r>
      <w:r>
        <w:rPr>
          <w:rFonts w:hint="eastAsia" w:ascii="仿宋_GB2312" w:eastAsia="仿宋_GB2312"/>
          <w:color w:val="auto"/>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（联系单位：省社会保险事业中心工伤保险服务处）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方正小标宋简体"/>
          <w:color w:val="auto"/>
          <w:sz w:val="44"/>
          <w:szCs w:val="44"/>
        </w:rPr>
      </w:pPr>
      <w:r>
        <w:rPr>
          <w:rFonts w:hint="eastAsia" w:ascii="仿宋_GB2312" w:hAnsi="仿宋_GB2312" w:eastAsia="方正小标宋简体" w:cs="方正小标宋简体"/>
          <w:color w:val="auto"/>
          <w:sz w:val="44"/>
          <w:szCs w:val="44"/>
        </w:rPr>
        <w:t>山东省工伤保险异地就医直接结算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方正小标宋简体"/>
          <w:color w:val="auto"/>
          <w:sz w:val="44"/>
          <w:szCs w:val="44"/>
        </w:rPr>
      </w:pPr>
      <w:r>
        <w:rPr>
          <w:rFonts w:hint="eastAsia" w:ascii="仿宋_GB2312" w:hAnsi="仿宋_GB2312" w:eastAsia="方正小标宋简体" w:cs="方正小标宋简体"/>
          <w:color w:val="auto"/>
          <w:sz w:val="44"/>
          <w:szCs w:val="44"/>
        </w:rPr>
        <w:t>经办规程</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hint="eastAsia" w:ascii="仿宋_GB2312" w:hAnsi="仿宋_GB2312" w:eastAsia="黑体" w:cs="仿宋_GB2312"/>
          <w:color w:val="auto"/>
          <w:sz w:val="32"/>
          <w:szCs w:val="32"/>
        </w:rPr>
      </w:pPr>
      <w:r>
        <w:rPr>
          <w:rFonts w:hint="eastAsia" w:ascii="仿宋_GB2312" w:hAnsi="仿宋_GB2312" w:eastAsia="黑体" w:cs="仿宋_GB2312"/>
          <w:color w:val="auto"/>
          <w:sz w:val="32"/>
          <w:szCs w:val="32"/>
        </w:rPr>
        <w:t xml:space="preserve">第一章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第一条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olor w:val="auto"/>
          <w:sz w:val="32"/>
          <w:szCs w:val="32"/>
          <w:shd w:val="clear" w:color="auto" w:fill="FFFFFF"/>
        </w:rPr>
        <w:t>为落实</w:t>
      </w:r>
      <w:r>
        <w:rPr>
          <w:rFonts w:hint="eastAsia" w:ascii="仿宋_GB2312" w:hAnsi="仿宋_GB2312" w:eastAsia="仿宋_GB2312" w:cs="Times New Roman Regular"/>
          <w:color w:val="auto"/>
          <w:sz w:val="32"/>
          <w:szCs w:val="32"/>
        </w:rPr>
        <w:t>《人力资源社会保障部财政部国家卫生健康委关于开展工伤保险跨省异地就医直接结算试点工作的通知 》（人社部发〔2024〕11号）</w:t>
      </w:r>
      <w:r>
        <w:rPr>
          <w:rFonts w:hint="eastAsia" w:ascii="仿宋_GB2312" w:hAnsi="仿宋_GB2312" w:eastAsia="仿宋_GB2312" w:cs="Times New Roman Regular"/>
          <w:color w:val="auto"/>
          <w:sz w:val="32"/>
          <w:szCs w:val="32"/>
          <w:lang w:eastAsia="zh-CN"/>
        </w:rPr>
        <w:t>、</w:t>
      </w:r>
      <w:r>
        <w:rPr>
          <w:rFonts w:hint="eastAsia"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lang w:val="en-US" w:eastAsia="zh-CN"/>
        </w:rPr>
        <w:t>山东省</w:t>
      </w:r>
      <w:r>
        <w:rPr>
          <w:rFonts w:hint="eastAsia" w:ascii="仿宋_GB2312" w:hAnsi="仿宋_GB2312" w:eastAsia="仿宋_GB2312" w:cs="Times New Roman Regular"/>
          <w:color w:val="auto"/>
          <w:sz w:val="32"/>
          <w:szCs w:val="32"/>
        </w:rPr>
        <w:t>人力资源社会保障</w:t>
      </w:r>
      <w:r>
        <w:rPr>
          <w:rFonts w:hint="eastAsia" w:ascii="仿宋_GB2312" w:hAnsi="仿宋_GB2312" w:eastAsia="仿宋_GB2312" w:cs="Times New Roman Regular"/>
          <w:color w:val="auto"/>
          <w:sz w:val="32"/>
          <w:szCs w:val="32"/>
          <w:lang w:val="en-US" w:eastAsia="zh-CN"/>
        </w:rPr>
        <w:t>厅</w:t>
      </w:r>
      <w:r>
        <w:rPr>
          <w:rFonts w:hint="eastAsia" w:ascii="仿宋_GB2312" w:hAnsi="仿宋_GB2312" w:eastAsia="仿宋_GB2312" w:cs="Times New Roman Regular"/>
          <w:color w:val="auto"/>
          <w:sz w:val="32"/>
          <w:szCs w:val="32"/>
        </w:rPr>
        <w:t>财政</w:t>
      </w:r>
      <w:r>
        <w:rPr>
          <w:rFonts w:hint="eastAsia" w:ascii="仿宋_GB2312" w:hAnsi="仿宋_GB2312" w:eastAsia="仿宋_GB2312" w:cs="Times New Roman Regular"/>
          <w:color w:val="auto"/>
          <w:sz w:val="32"/>
          <w:szCs w:val="32"/>
          <w:lang w:val="en-US" w:eastAsia="zh-CN"/>
        </w:rPr>
        <w:t>厅</w:t>
      </w:r>
      <w:r>
        <w:rPr>
          <w:rFonts w:hint="eastAsia" w:ascii="仿宋_GB2312" w:hAnsi="仿宋_GB2312" w:eastAsia="仿宋_GB2312" w:cs="Times New Roman Regular"/>
          <w:color w:val="auto"/>
          <w:sz w:val="32"/>
          <w:szCs w:val="32"/>
        </w:rPr>
        <w:t>卫生健康委关于</w:t>
      </w:r>
      <w:r>
        <w:rPr>
          <w:rFonts w:hint="eastAsia" w:ascii="仿宋_GB2312" w:hAnsi="仿宋_GB2312" w:eastAsia="仿宋_GB2312" w:cs="Times New Roman Regular"/>
          <w:color w:val="auto"/>
          <w:sz w:val="32"/>
          <w:szCs w:val="32"/>
          <w:lang w:val="en-US" w:eastAsia="zh-CN"/>
        </w:rPr>
        <w:t>推进</w:t>
      </w:r>
      <w:r>
        <w:rPr>
          <w:rFonts w:hint="eastAsia" w:ascii="仿宋_GB2312" w:hAnsi="仿宋_GB2312" w:eastAsia="仿宋_GB2312" w:cs="Times New Roman Regular"/>
          <w:color w:val="auto"/>
          <w:sz w:val="32"/>
          <w:szCs w:val="32"/>
        </w:rPr>
        <w:t>工伤保险异地就医直接结算工作的通知 》（</w:t>
      </w:r>
      <w:r>
        <w:rPr>
          <w:rFonts w:hint="eastAsia" w:ascii="仿宋_GB2312" w:hAnsi="仿宋_GB2312" w:eastAsia="仿宋_GB2312" w:cs="Times New Roman Regular"/>
          <w:color w:val="auto"/>
          <w:sz w:val="32"/>
          <w:szCs w:val="32"/>
          <w:lang w:val="en-US" w:eastAsia="zh-CN"/>
        </w:rPr>
        <w:t>鲁人社字</w:t>
      </w:r>
      <w:r>
        <w:rPr>
          <w:rFonts w:hint="eastAsia" w:ascii="仿宋_GB2312" w:hAnsi="仿宋_GB2312" w:eastAsia="仿宋_GB2312" w:cs="Times New Roman Regular"/>
          <w:color w:val="auto"/>
          <w:sz w:val="32"/>
          <w:szCs w:val="32"/>
        </w:rPr>
        <w:t>〔2024〕</w:t>
      </w:r>
      <w:r>
        <w:rPr>
          <w:rFonts w:hint="eastAsia" w:ascii="仿宋_GB2312" w:hAnsi="仿宋_GB2312" w:eastAsia="仿宋_GB2312" w:cs="Times New Roman Regular"/>
          <w:color w:val="auto"/>
          <w:sz w:val="32"/>
          <w:szCs w:val="32"/>
          <w:lang w:val="en-US" w:eastAsia="zh-CN"/>
        </w:rPr>
        <w:t>22</w:t>
      </w:r>
      <w:r>
        <w:rPr>
          <w:rFonts w:hint="eastAsia" w:ascii="仿宋_GB2312" w:hAnsi="仿宋_GB2312" w:eastAsia="仿宋_GB2312" w:cs="Times New Roman Regular"/>
          <w:color w:val="auto"/>
          <w:sz w:val="32"/>
          <w:szCs w:val="32"/>
        </w:rPr>
        <w:t>号）等</w:t>
      </w:r>
      <w:r>
        <w:rPr>
          <w:rFonts w:hint="eastAsia" w:ascii="仿宋_GB2312" w:hAnsi="仿宋_GB2312" w:eastAsia="仿宋_GB2312" w:cs="Times New Roman Regular"/>
          <w:color w:val="auto"/>
          <w:sz w:val="32"/>
          <w:szCs w:val="32"/>
          <w:lang w:eastAsia="zh-Hans"/>
        </w:rPr>
        <w:t>文件</w:t>
      </w:r>
      <w:r>
        <w:rPr>
          <w:rFonts w:hint="eastAsia" w:ascii="仿宋_GB2312" w:hAnsi="仿宋_GB2312" w:eastAsia="仿宋_GB2312" w:cs="Times New Roman Regular"/>
          <w:color w:val="auto"/>
          <w:sz w:val="32"/>
          <w:szCs w:val="32"/>
        </w:rPr>
        <w:t>有关要求，推进</w:t>
      </w:r>
      <w:r>
        <w:rPr>
          <w:rFonts w:hint="eastAsia" w:ascii="仿宋_GB2312" w:hAnsi="仿宋_GB2312" w:eastAsia="仿宋_GB2312"/>
          <w:color w:val="auto"/>
          <w:sz w:val="32"/>
          <w:szCs w:val="32"/>
          <w:shd w:val="clear" w:color="auto" w:fill="FFFFFF"/>
        </w:rPr>
        <w:t>工伤保险异地就医费用</w:t>
      </w:r>
      <w:r>
        <w:rPr>
          <w:rFonts w:hint="eastAsia" w:ascii="仿宋_GB2312" w:hAnsi="仿宋_GB2312" w:eastAsia="仿宋_GB2312" w:cs="仿宋_GB2312"/>
          <w:bCs/>
          <w:color w:val="auto"/>
          <w:spacing w:val="-10"/>
          <w:sz w:val="32"/>
          <w:szCs w:val="32"/>
          <w:lang w:eastAsia="zh-Hans"/>
        </w:rPr>
        <w:t>直接</w:t>
      </w:r>
      <w:r>
        <w:rPr>
          <w:rFonts w:hint="eastAsia" w:ascii="仿宋_GB2312" w:hAnsi="仿宋_GB2312" w:eastAsia="仿宋_GB2312" w:cs="仿宋_GB2312"/>
          <w:bCs/>
          <w:color w:val="auto"/>
          <w:spacing w:val="-10"/>
          <w:sz w:val="32"/>
          <w:szCs w:val="32"/>
        </w:rPr>
        <w:t>结算，规范异地就医管理，提升服务水平，</w:t>
      </w:r>
      <w:r>
        <w:rPr>
          <w:rFonts w:hint="eastAsia" w:ascii="仿宋_GB2312" w:hAnsi="仿宋_GB2312" w:eastAsia="仿宋_GB2312" w:cs="Times New Roman Regular"/>
          <w:color w:val="auto"/>
          <w:sz w:val="32"/>
          <w:szCs w:val="32"/>
        </w:rPr>
        <w:t>结合我省实际，制定本规程。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第二条</w:t>
      </w:r>
      <w:r>
        <w:rPr>
          <w:rFonts w:hint="eastAsia" w:ascii="仿宋_GB2312" w:hAnsi="仿宋_GB2312" w:eastAsia="仿宋_GB2312" w:cs="Times New Roman Regular"/>
          <w:b/>
          <w:bCs/>
          <w:color w:val="auto"/>
          <w:sz w:val="32"/>
          <w:szCs w:val="32"/>
          <w:lang w:val="en-US" w:eastAsia="zh-CN"/>
        </w:rPr>
        <w:t xml:space="preserve">  </w:t>
      </w:r>
      <w:r>
        <w:rPr>
          <w:rFonts w:hint="eastAsia" w:ascii="仿宋_GB2312" w:hAnsi="仿宋_GB2312" w:eastAsia="仿宋_GB2312" w:cs="Times New Roman Regular"/>
          <w:color w:val="auto"/>
          <w:sz w:val="32"/>
          <w:szCs w:val="32"/>
        </w:rPr>
        <w:t>本规程适用于工伤职工在</w:t>
      </w:r>
      <w:r>
        <w:rPr>
          <w:rFonts w:ascii="仿宋_GB2312" w:hAnsi="仿宋_GB2312" w:eastAsia="仿宋_GB2312" w:cs="Times New Roman Regular"/>
          <w:color w:val="auto"/>
          <w:sz w:val="32"/>
          <w:szCs w:val="32"/>
        </w:rPr>
        <w:t>参保</w:t>
      </w:r>
      <w:r>
        <w:rPr>
          <w:rFonts w:hint="eastAsia" w:ascii="仿宋_GB2312" w:hAnsi="仿宋_GB2312" w:eastAsia="仿宋_GB2312" w:cs="Times New Roman Regular"/>
          <w:color w:val="auto"/>
          <w:sz w:val="32"/>
          <w:szCs w:val="32"/>
        </w:rPr>
        <w:t>地（设区的市,下同）</w:t>
      </w:r>
      <w:r>
        <w:rPr>
          <w:rFonts w:ascii="仿宋_GB2312" w:hAnsi="仿宋_GB2312" w:eastAsia="仿宋_GB2312" w:cs="Times New Roman Regular"/>
          <w:color w:val="auto"/>
          <w:sz w:val="32"/>
          <w:szCs w:val="32"/>
        </w:rPr>
        <w:t>外</w:t>
      </w:r>
      <w:r>
        <w:rPr>
          <w:rFonts w:hint="eastAsia" w:ascii="仿宋_GB2312" w:hAnsi="仿宋_GB2312" w:eastAsia="仿宋_GB2312" w:cs="Times New Roman Regular"/>
          <w:color w:val="auto"/>
          <w:sz w:val="32"/>
          <w:szCs w:val="32"/>
        </w:rPr>
        <w:t>（含省内及省</w:t>
      </w:r>
      <w:r>
        <w:rPr>
          <w:rFonts w:hint="eastAsia" w:ascii="仿宋_GB2312" w:hAnsi="仿宋_GB2312" w:eastAsia="仿宋_GB2312" w:cs="Times New Roman Regular"/>
          <w:color w:val="auto"/>
          <w:sz w:val="32"/>
          <w:szCs w:val="32"/>
          <w:lang w:val="en-US" w:eastAsia="zh-CN"/>
        </w:rPr>
        <w:t>外</w:t>
      </w:r>
      <w:r>
        <w:rPr>
          <w:rFonts w:hint="eastAsia" w:ascii="仿宋_GB2312" w:hAnsi="仿宋_GB2312" w:eastAsia="仿宋_GB2312" w:cs="Times New Roman Regular"/>
          <w:color w:val="auto"/>
          <w:sz w:val="32"/>
          <w:szCs w:val="32"/>
        </w:rPr>
        <w:t>）就医费用直接结算工作。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第三条</w:t>
      </w:r>
      <w:r>
        <w:rPr>
          <w:rFonts w:hint="eastAsia" w:ascii="仿宋_GB2312" w:hAnsi="仿宋_GB2312" w:eastAsia="仿宋_GB2312"/>
          <w:b/>
          <w:bCs/>
          <w:color w:val="auto"/>
          <w:sz w:val="32"/>
          <w:szCs w:val="32"/>
          <w:lang w:val="en-US" w:eastAsia="zh-CN"/>
        </w:rPr>
        <w:t xml:space="preserve">  </w:t>
      </w:r>
      <w:r>
        <w:rPr>
          <w:rFonts w:hint="eastAsia" w:ascii="仿宋_GB2312" w:hAnsi="仿宋_GB2312" w:eastAsia="仿宋_GB2312" w:cs="Times New Roman Regular"/>
          <w:color w:val="auto"/>
          <w:sz w:val="32"/>
          <w:szCs w:val="32"/>
        </w:rPr>
        <w:t>参加工伤保险</w:t>
      </w:r>
      <w:r>
        <w:rPr>
          <w:rFonts w:ascii="仿宋_GB2312" w:hAnsi="仿宋_GB2312" w:eastAsia="仿宋_GB2312" w:cs="Times New Roman Regular"/>
          <w:color w:val="auto"/>
          <w:sz w:val="32"/>
          <w:szCs w:val="32"/>
        </w:rPr>
        <w:t>并已完成工伤认定、工伤康复确认</w:t>
      </w:r>
      <w:r>
        <w:rPr>
          <w:rFonts w:hint="eastAsia" w:ascii="仿宋_GB2312" w:hAnsi="仿宋_GB2312" w:eastAsia="仿宋_GB2312" w:cs="Times New Roman Regular"/>
          <w:color w:val="auto"/>
          <w:sz w:val="32"/>
          <w:szCs w:val="32"/>
        </w:rPr>
        <w:t>或辅助器具配置确认</w:t>
      </w:r>
      <w:r>
        <w:rPr>
          <w:rFonts w:hint="default"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含工伤复发</w:t>
      </w:r>
      <w:r>
        <w:rPr>
          <w:rFonts w:hint="default"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的</w:t>
      </w:r>
      <w:r>
        <w:rPr>
          <w:rFonts w:ascii="仿宋_GB2312" w:hAnsi="仿宋_GB2312" w:eastAsia="仿宋_GB2312" w:cs="Times New Roman Regular"/>
          <w:color w:val="auto"/>
          <w:sz w:val="32"/>
          <w:szCs w:val="32"/>
        </w:rPr>
        <w:t>异地转诊</w:t>
      </w:r>
      <w:r>
        <w:rPr>
          <w:rFonts w:hint="eastAsia" w:ascii="仿宋_GB2312" w:hAnsi="仿宋_GB2312" w:eastAsia="仿宋_GB2312" w:cs="Times New Roman Regular"/>
          <w:color w:val="auto"/>
          <w:sz w:val="32"/>
          <w:szCs w:val="32"/>
          <w:lang w:eastAsia="zh-Hans"/>
        </w:rPr>
        <w:t>转院、</w:t>
      </w:r>
      <w:r>
        <w:rPr>
          <w:rFonts w:ascii="仿宋_GB2312" w:hAnsi="仿宋_GB2312" w:eastAsia="仿宋_GB2312" w:cs="Times New Roman Regular"/>
          <w:color w:val="auto"/>
          <w:sz w:val="32"/>
          <w:szCs w:val="32"/>
        </w:rPr>
        <w:t>异地长期居住</w:t>
      </w:r>
      <w:r>
        <w:rPr>
          <w:rFonts w:hint="eastAsia" w:ascii="仿宋_GB2312" w:hAnsi="仿宋_GB2312" w:eastAsia="仿宋_GB2312" w:cs="Times New Roman Regular"/>
          <w:color w:val="auto"/>
          <w:sz w:val="32"/>
          <w:szCs w:val="32"/>
        </w:rPr>
        <w:t>（或工作）的</w:t>
      </w:r>
      <w:r>
        <w:rPr>
          <w:rFonts w:ascii="仿宋_GB2312" w:hAnsi="仿宋_GB2312" w:eastAsia="仿宋_GB2312" w:cs="Times New Roman Regular"/>
          <w:color w:val="auto"/>
          <w:sz w:val="32"/>
          <w:szCs w:val="32"/>
        </w:rPr>
        <w:t>工伤职工，可以申请</w:t>
      </w:r>
      <w:r>
        <w:rPr>
          <w:rFonts w:hint="eastAsia" w:ascii="仿宋_GB2312" w:hAnsi="仿宋_GB2312" w:eastAsia="仿宋_GB2312" w:cs="Times New Roman Regular"/>
          <w:color w:val="auto"/>
          <w:sz w:val="32"/>
          <w:szCs w:val="32"/>
        </w:rPr>
        <w:t>异地就医费用</w:t>
      </w:r>
      <w:r>
        <w:rPr>
          <w:rFonts w:ascii="仿宋_GB2312" w:hAnsi="仿宋_GB2312" w:eastAsia="仿宋_GB2312" w:cs="Times New Roman Regular"/>
          <w:color w:val="auto"/>
          <w:sz w:val="32"/>
          <w:szCs w:val="32"/>
        </w:rPr>
        <w:t>的</w:t>
      </w:r>
      <w:r>
        <w:rPr>
          <w:rFonts w:hint="eastAsia" w:ascii="仿宋_GB2312" w:hAnsi="仿宋_GB2312" w:eastAsia="仿宋_GB2312" w:cs="Times New Roman Regular"/>
          <w:color w:val="auto"/>
          <w:sz w:val="32"/>
          <w:szCs w:val="32"/>
        </w:rPr>
        <w:t>直接结算。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（一）在参保地外居住（工作）半年，并符合参保地异地就医、康复、辅助器具配置要求的工伤职工。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（二）参保地医疗和康复、辅助器具配置协议机构限于医疗技术和设备不能诊治或配置，符合参保地转诊转院要求的工伤职工。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第四条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符合条件的</w:t>
      </w:r>
      <w:r>
        <w:rPr>
          <w:rFonts w:ascii="仿宋_GB2312" w:hAnsi="仿宋_GB2312" w:eastAsia="仿宋_GB2312" w:cs="Times New Roman Regular"/>
          <w:color w:val="auto"/>
          <w:sz w:val="32"/>
          <w:szCs w:val="32"/>
        </w:rPr>
        <w:t>工伤职工在参保</w:t>
      </w:r>
      <w:r>
        <w:rPr>
          <w:rFonts w:hint="eastAsia" w:ascii="仿宋_GB2312" w:hAnsi="仿宋_GB2312" w:eastAsia="仿宋_GB2312" w:cs="Times New Roman Regular"/>
          <w:color w:val="auto"/>
          <w:sz w:val="32"/>
          <w:szCs w:val="32"/>
        </w:rPr>
        <w:t>地</w:t>
      </w:r>
      <w:r>
        <w:rPr>
          <w:rFonts w:ascii="仿宋_GB2312" w:hAnsi="仿宋_GB2312" w:eastAsia="仿宋_GB2312" w:cs="Times New Roman Regular"/>
          <w:color w:val="auto"/>
          <w:sz w:val="32"/>
          <w:szCs w:val="32"/>
        </w:rPr>
        <w:t>外的工伤保险协议医疗机构、康复机构和辅助器具配置机构（以下统称协议机构）发生的</w:t>
      </w:r>
      <w:r>
        <w:rPr>
          <w:rFonts w:hint="eastAsia" w:ascii="仿宋_GB2312" w:hAnsi="仿宋_GB2312" w:eastAsia="仿宋_GB2312" w:cs="Times New Roman Regular"/>
          <w:color w:val="auto"/>
          <w:sz w:val="32"/>
          <w:szCs w:val="32"/>
        </w:rPr>
        <w:t>无第三方责任的</w:t>
      </w:r>
      <w:r>
        <w:rPr>
          <w:rFonts w:hint="eastAsia" w:ascii="仿宋_GB2312" w:hAnsi="仿宋_GB2312" w:eastAsia="仿宋_GB2312" w:cs="仿宋_GB2312"/>
          <w:color w:val="auto"/>
          <w:sz w:val="32"/>
          <w:szCs w:val="32"/>
        </w:rPr>
        <w:t>工伤医疗、工伤康复</w:t>
      </w:r>
      <w:r>
        <w:rPr>
          <w:rFonts w:ascii="仿宋_GB2312" w:hAnsi="仿宋_GB2312" w:eastAsia="仿宋_GB2312" w:cs="Times New Roman Regular"/>
          <w:color w:val="auto"/>
          <w:sz w:val="32"/>
          <w:szCs w:val="32"/>
        </w:rPr>
        <w:t>和辅助器具配置（含更换，下同）等</w:t>
      </w:r>
      <w:r>
        <w:rPr>
          <w:rFonts w:hint="eastAsia" w:ascii="仿宋_GB2312" w:hAnsi="仿宋_GB2312" w:eastAsia="仿宋_GB2312" w:cs="Times New Roman Regular"/>
          <w:color w:val="auto"/>
          <w:sz w:val="32"/>
          <w:szCs w:val="32"/>
        </w:rPr>
        <w:t>合规</w:t>
      </w:r>
      <w:r>
        <w:rPr>
          <w:rFonts w:ascii="仿宋_GB2312" w:hAnsi="仿宋_GB2312" w:eastAsia="仿宋_GB2312" w:cs="Times New Roman Regular"/>
          <w:color w:val="auto"/>
          <w:sz w:val="32"/>
          <w:szCs w:val="32"/>
        </w:rPr>
        <w:t>异地就医费用，</w:t>
      </w:r>
      <w:r>
        <w:rPr>
          <w:rFonts w:hint="eastAsia" w:ascii="仿宋_GB2312" w:hAnsi="仿宋_GB2312" w:eastAsia="仿宋_GB2312" w:cs="Times New Roman Regular"/>
          <w:color w:val="auto"/>
          <w:sz w:val="32"/>
          <w:szCs w:val="32"/>
        </w:rPr>
        <w:t>可以</w:t>
      </w:r>
      <w:r>
        <w:rPr>
          <w:rFonts w:ascii="仿宋_GB2312" w:hAnsi="仿宋_GB2312" w:eastAsia="仿宋_GB2312" w:cs="Times New Roman Regular"/>
          <w:color w:val="auto"/>
          <w:sz w:val="32"/>
          <w:szCs w:val="32"/>
        </w:rPr>
        <w:t>按照本</w:t>
      </w:r>
      <w:r>
        <w:rPr>
          <w:rFonts w:hint="eastAsia" w:ascii="仿宋_GB2312" w:hAnsi="仿宋_GB2312" w:eastAsia="仿宋_GB2312" w:cs="Times New Roman Regular"/>
          <w:color w:val="auto"/>
          <w:sz w:val="32"/>
          <w:szCs w:val="32"/>
        </w:rPr>
        <w:t>规</w:t>
      </w:r>
      <w:r>
        <w:rPr>
          <w:rFonts w:ascii="仿宋_GB2312" w:hAnsi="仿宋_GB2312" w:eastAsia="仿宋_GB2312" w:cs="Times New Roman Regular"/>
          <w:color w:val="auto"/>
          <w:sz w:val="32"/>
          <w:szCs w:val="32"/>
        </w:rPr>
        <w:t>程的规定</w:t>
      </w:r>
      <w:r>
        <w:rPr>
          <w:rFonts w:hint="eastAsia" w:ascii="仿宋_GB2312" w:hAnsi="仿宋_GB2312" w:eastAsia="仿宋_GB2312" w:cs="Times New Roman Regular"/>
          <w:color w:val="auto"/>
          <w:sz w:val="32"/>
          <w:szCs w:val="32"/>
        </w:rPr>
        <w:t>直接结算</w:t>
      </w:r>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尚不具备联网结算条件的，采用手工报销方式结算。其中，跨省异地就医直接结算</w:t>
      </w:r>
      <w:r>
        <w:rPr>
          <w:rFonts w:hint="eastAsia" w:ascii="仿宋_GB2312" w:hAnsi="仿宋_GB2312" w:eastAsia="仿宋_GB2312" w:cs="Times New Roman Regular"/>
          <w:color w:val="auto"/>
          <w:sz w:val="32"/>
          <w:szCs w:val="32"/>
          <w:lang w:eastAsia="zh-CN"/>
        </w:rPr>
        <w:t>范围为</w:t>
      </w:r>
      <w:bookmarkStart w:id="33" w:name="_GoBack"/>
      <w:bookmarkEnd w:id="33"/>
      <w:r>
        <w:rPr>
          <w:rFonts w:hint="eastAsia" w:ascii="仿宋_GB2312" w:hAnsi="仿宋_GB2312" w:eastAsia="仿宋_GB2312"/>
          <w:color w:val="auto"/>
          <w:sz w:val="32"/>
          <w:szCs w:val="32"/>
        </w:rPr>
        <w:t>工伤</w:t>
      </w:r>
      <w:r>
        <w:rPr>
          <w:rFonts w:ascii="仿宋_GB2312" w:hAnsi="仿宋_GB2312" w:eastAsia="仿宋_GB2312"/>
          <w:color w:val="auto"/>
          <w:sz w:val="32"/>
          <w:szCs w:val="32"/>
        </w:rPr>
        <w:t>医疗</w:t>
      </w:r>
      <w:r>
        <w:rPr>
          <w:rFonts w:hint="eastAsia" w:ascii="仿宋_GB2312" w:hAnsi="仿宋_GB2312" w:eastAsia="仿宋_GB2312"/>
          <w:color w:val="auto"/>
          <w:sz w:val="32"/>
          <w:szCs w:val="32"/>
        </w:rPr>
        <w:t>（</w:t>
      </w:r>
      <w:r>
        <w:rPr>
          <w:rFonts w:ascii="仿宋_GB2312" w:hAnsi="仿宋_GB2312" w:eastAsia="仿宋_GB2312"/>
          <w:color w:val="auto"/>
          <w:sz w:val="32"/>
          <w:szCs w:val="32"/>
        </w:rPr>
        <w:t>康复</w:t>
      </w:r>
      <w:r>
        <w:rPr>
          <w:rFonts w:hint="eastAsia" w:ascii="仿宋_GB2312" w:hAnsi="仿宋_GB2312" w:eastAsia="仿宋_GB2312"/>
          <w:color w:val="auto"/>
          <w:sz w:val="32"/>
          <w:szCs w:val="32"/>
        </w:rPr>
        <w:t>）</w:t>
      </w:r>
      <w:r>
        <w:rPr>
          <w:rFonts w:ascii="仿宋_GB2312" w:hAnsi="仿宋_GB2312" w:eastAsia="仿宋_GB2312"/>
          <w:color w:val="auto"/>
          <w:sz w:val="32"/>
          <w:szCs w:val="32"/>
        </w:rPr>
        <w:t>住院</w:t>
      </w:r>
      <w:r>
        <w:rPr>
          <w:rFonts w:hint="eastAsia" w:ascii="仿宋_GB2312" w:hAnsi="仿宋_GB2312" w:eastAsia="仿宋_GB2312"/>
          <w:color w:val="auto"/>
          <w:sz w:val="32"/>
          <w:szCs w:val="32"/>
        </w:rPr>
        <w:t>费用</w:t>
      </w:r>
      <w:r>
        <w:rPr>
          <w:rFonts w:ascii="仿宋_GB2312" w:hAnsi="仿宋_GB2312" w:eastAsia="仿宋_GB2312"/>
          <w:color w:val="auto"/>
          <w:sz w:val="32"/>
          <w:szCs w:val="32"/>
        </w:rPr>
        <w:t>和辅助器具配置费用</w:t>
      </w:r>
      <w:r>
        <w:rPr>
          <w:rFonts w:hint="eastAsia" w:ascii="仿宋_GB2312" w:hAnsi="仿宋_GB2312"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第五条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各级社会保险经办机构、工伤保险协议机构依托山东省社会保险信息系统（</w:t>
      </w:r>
      <w:r>
        <w:rPr>
          <w:rFonts w:ascii="仿宋_GB2312" w:hAnsi="仿宋_GB2312" w:eastAsia="仿宋_GB2312" w:cs="Times New Roman Regular"/>
          <w:color w:val="auto"/>
          <w:sz w:val="32"/>
          <w:szCs w:val="32"/>
        </w:rPr>
        <w:t>以下简称</w:t>
      </w:r>
      <w:r>
        <w:rPr>
          <w:rFonts w:hint="eastAsia" w:ascii="仿宋_GB2312" w:hAnsi="仿宋_GB2312" w:eastAsia="仿宋_GB2312" w:cs="Times New Roman Regular"/>
          <w:color w:val="auto"/>
          <w:sz w:val="32"/>
          <w:szCs w:val="32"/>
        </w:rPr>
        <w:t>省集中社保信息系统）、山东省</w:t>
      </w:r>
      <w:r>
        <w:rPr>
          <w:rFonts w:ascii="仿宋_GB2312" w:hAnsi="仿宋_GB2312" w:eastAsia="仿宋_GB2312" w:cs="Times New Roman Regular"/>
          <w:color w:val="auto"/>
          <w:sz w:val="32"/>
          <w:szCs w:val="32"/>
        </w:rPr>
        <w:t>工伤保险异地就医结算</w:t>
      </w:r>
      <w:r>
        <w:rPr>
          <w:rFonts w:hint="eastAsia" w:ascii="仿宋_GB2312" w:hAnsi="仿宋_GB2312" w:eastAsia="仿宋_GB2312" w:cs="Times New Roman Regular"/>
          <w:color w:val="auto"/>
          <w:sz w:val="32"/>
          <w:szCs w:val="32"/>
        </w:rPr>
        <w:t>系统</w:t>
      </w:r>
      <w:r>
        <w:rPr>
          <w:rFonts w:ascii="仿宋_GB2312" w:hAnsi="仿宋_GB2312" w:eastAsia="仿宋_GB2312" w:cs="Times New Roman Regular"/>
          <w:color w:val="auto"/>
          <w:sz w:val="32"/>
          <w:szCs w:val="32"/>
        </w:rPr>
        <w:t>（以下简称</w:t>
      </w:r>
      <w:bookmarkStart w:id="0" w:name="_Hlk161670018"/>
      <w:r>
        <w:rPr>
          <w:rFonts w:hint="eastAsia" w:ascii="仿宋_GB2312" w:hAnsi="仿宋_GB2312" w:eastAsia="仿宋_GB2312" w:cs="Times New Roman Regular"/>
          <w:color w:val="auto"/>
          <w:sz w:val="32"/>
          <w:szCs w:val="32"/>
        </w:rPr>
        <w:t>省</w:t>
      </w:r>
      <w:r>
        <w:rPr>
          <w:rFonts w:ascii="仿宋_GB2312" w:hAnsi="仿宋_GB2312" w:eastAsia="仿宋_GB2312" w:cs="Times New Roman Regular"/>
          <w:color w:val="auto"/>
          <w:sz w:val="32"/>
          <w:szCs w:val="32"/>
        </w:rPr>
        <w:t>级</w:t>
      </w:r>
      <w:r>
        <w:rPr>
          <w:rFonts w:hint="eastAsia" w:ascii="仿宋_GB2312" w:hAnsi="仿宋_GB2312" w:eastAsia="仿宋_GB2312" w:cs="Times New Roman Regular"/>
          <w:color w:val="auto"/>
          <w:sz w:val="32"/>
          <w:szCs w:val="32"/>
        </w:rPr>
        <w:t>异地结算系统</w:t>
      </w:r>
      <w:bookmarkEnd w:id="0"/>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，开展工伤保险异地就医直接结算</w:t>
      </w:r>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实现结算信息电子化传递。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第六条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s="Times New Roman"/>
          <w:color w:val="auto"/>
          <w:sz w:val="32"/>
          <w:szCs w:val="32"/>
        </w:rPr>
        <w:t>各级</w:t>
      </w:r>
      <w:r>
        <w:rPr>
          <w:rFonts w:hint="eastAsia" w:ascii="仿宋_GB2312" w:hAnsi="仿宋_GB2312" w:eastAsia="仿宋_GB2312" w:cs="Times New Roman"/>
          <w:color w:val="auto"/>
          <w:sz w:val="32"/>
          <w:szCs w:val="32"/>
        </w:rPr>
        <w:t>社保</w:t>
      </w:r>
      <w:r>
        <w:rPr>
          <w:rFonts w:ascii="仿宋_GB2312" w:hAnsi="仿宋_GB2312" w:eastAsia="仿宋_GB2312" w:cs="Times New Roman"/>
          <w:color w:val="auto"/>
          <w:sz w:val="32"/>
          <w:szCs w:val="32"/>
        </w:rPr>
        <w:t>经办机构应按照服务便民工作原则，做好政策宣传和就医</w:t>
      </w:r>
      <w:r>
        <w:rPr>
          <w:rFonts w:hint="eastAsia" w:ascii="仿宋_GB2312" w:hAnsi="仿宋_GB2312" w:eastAsia="仿宋_GB2312" w:cs="Times New Roman"/>
          <w:color w:val="auto"/>
          <w:sz w:val="32"/>
          <w:szCs w:val="32"/>
        </w:rPr>
        <w:t>指引</w:t>
      </w:r>
      <w:r>
        <w:rPr>
          <w:rFonts w:ascii="仿宋_GB2312" w:hAnsi="仿宋_GB2312" w:eastAsia="仿宋_GB2312" w:cs="Times New Roman"/>
          <w:color w:val="auto"/>
          <w:sz w:val="32"/>
          <w:szCs w:val="32"/>
        </w:rPr>
        <w:t>，依托公共服务</w:t>
      </w:r>
      <w:r>
        <w:rPr>
          <w:rFonts w:hint="eastAsia" w:ascii="仿宋_GB2312" w:hAnsi="仿宋_GB2312" w:eastAsia="仿宋_GB2312" w:cs="Times New Roman"/>
          <w:color w:val="auto"/>
          <w:sz w:val="32"/>
          <w:szCs w:val="32"/>
        </w:rPr>
        <w:t>平台</w:t>
      </w:r>
      <w:r>
        <w:rPr>
          <w:rFonts w:ascii="仿宋_GB2312" w:hAnsi="仿宋_GB2312" w:eastAsia="仿宋_GB2312" w:cs="Times New Roman"/>
          <w:color w:val="auto"/>
          <w:sz w:val="32"/>
          <w:szCs w:val="32"/>
        </w:rPr>
        <w:t>、经办服务大厅等</w:t>
      </w:r>
      <w:r>
        <w:rPr>
          <w:rFonts w:hint="eastAsia" w:ascii="仿宋_GB2312" w:hAnsi="仿宋_GB2312" w:eastAsia="仿宋_GB2312" w:cs="Times New Roman"/>
          <w:color w:val="auto"/>
          <w:sz w:val="32"/>
          <w:szCs w:val="32"/>
        </w:rPr>
        <w:t>渠道</w:t>
      </w:r>
      <w:r>
        <w:rPr>
          <w:rFonts w:ascii="仿宋_GB2312" w:hAnsi="仿宋_GB2312" w:eastAsia="仿宋_GB2312" w:cs="Times New Roman"/>
          <w:color w:val="auto"/>
          <w:sz w:val="32"/>
          <w:szCs w:val="32"/>
        </w:rPr>
        <w:t>公布办事指南，</w:t>
      </w:r>
      <w:r>
        <w:rPr>
          <w:rFonts w:hint="eastAsia" w:ascii="仿宋_GB2312" w:hAnsi="仿宋_GB2312" w:eastAsia="仿宋_GB2312"/>
          <w:color w:val="auto"/>
          <w:sz w:val="32"/>
          <w:szCs w:val="32"/>
        </w:rPr>
        <w:t>引导工伤职工异地有序就医</w:t>
      </w:r>
      <w:r>
        <w:rPr>
          <w:rFonts w:ascii="仿宋_GB2312" w:hAnsi="仿宋_GB2312"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第七条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山东省</w:t>
      </w:r>
      <w:r>
        <w:rPr>
          <w:rFonts w:ascii="仿宋_GB2312" w:hAnsi="仿宋_GB2312" w:eastAsia="仿宋_GB2312" w:cs="Times New Roman Regular"/>
          <w:color w:val="auto"/>
          <w:sz w:val="32"/>
          <w:szCs w:val="32"/>
        </w:rPr>
        <w:t>人力资源社会保障部门（以下简称人社部门）负责</w:t>
      </w:r>
      <w:r>
        <w:rPr>
          <w:rFonts w:hint="eastAsia" w:ascii="仿宋_GB2312" w:hAnsi="仿宋_GB2312" w:eastAsia="仿宋_GB2312" w:cs="Times New Roman Regular"/>
          <w:color w:val="auto"/>
          <w:sz w:val="32"/>
          <w:szCs w:val="32"/>
        </w:rPr>
        <w:t>建设</w:t>
      </w:r>
      <w:r>
        <w:rPr>
          <w:rFonts w:ascii="仿宋_GB2312" w:hAnsi="仿宋_GB2312" w:eastAsia="仿宋_GB2312" w:cs="Times New Roman Regular"/>
          <w:color w:val="auto"/>
          <w:sz w:val="32"/>
          <w:szCs w:val="32"/>
        </w:rPr>
        <w:t>完善</w:t>
      </w:r>
      <w:r>
        <w:rPr>
          <w:rFonts w:hint="eastAsia" w:ascii="仿宋_GB2312" w:hAnsi="仿宋_GB2312" w:eastAsia="仿宋_GB2312" w:cs="Times New Roman Regular"/>
          <w:color w:val="auto"/>
          <w:sz w:val="32"/>
          <w:szCs w:val="32"/>
        </w:rPr>
        <w:t>省级异地结算系统</w:t>
      </w:r>
      <w:r>
        <w:rPr>
          <w:rFonts w:ascii="仿宋_GB2312" w:hAnsi="仿宋_GB2312" w:eastAsia="仿宋_GB2312" w:cs="Times New Roman Regular"/>
          <w:color w:val="auto"/>
          <w:sz w:val="32"/>
          <w:szCs w:val="32"/>
        </w:rPr>
        <w:t>，统一组织协调</w:t>
      </w:r>
      <w:r>
        <w:rPr>
          <w:rFonts w:hint="eastAsia" w:ascii="仿宋_GB2312" w:hAnsi="仿宋_GB2312" w:eastAsia="仿宋_GB2312" w:cs="Times New Roman Regular"/>
          <w:color w:val="auto"/>
          <w:sz w:val="32"/>
          <w:szCs w:val="32"/>
        </w:rPr>
        <w:t>工伤保险</w:t>
      </w:r>
      <w:r>
        <w:rPr>
          <w:rFonts w:ascii="仿宋_GB2312" w:hAnsi="仿宋_GB2312" w:eastAsia="仿宋_GB2312" w:cs="Times New Roman Regular"/>
          <w:color w:val="auto"/>
          <w:sz w:val="32"/>
          <w:szCs w:val="32"/>
        </w:rPr>
        <w:t>异地就医管理服务工作；</w:t>
      </w:r>
      <w:r>
        <w:rPr>
          <w:rFonts w:hint="eastAsia" w:ascii="仿宋_GB2312" w:hAnsi="仿宋_GB2312" w:eastAsia="仿宋_GB2312" w:cs="Times New Roman Regular"/>
          <w:color w:val="auto"/>
          <w:sz w:val="32"/>
          <w:szCs w:val="32"/>
        </w:rPr>
        <w:t>各市县</w:t>
      </w:r>
      <w:r>
        <w:rPr>
          <w:rFonts w:hint="default" w:ascii="仿宋_GB2312" w:hAnsi="仿宋_GB2312" w:eastAsia="仿宋_GB2312" w:cs="Times New Roman Regular"/>
          <w:color w:val="auto"/>
          <w:sz w:val="32"/>
          <w:szCs w:val="32"/>
        </w:rPr>
        <w:t>人力资源社会保障</w:t>
      </w:r>
      <w:r>
        <w:rPr>
          <w:rFonts w:ascii="仿宋_GB2312" w:hAnsi="仿宋_GB2312" w:eastAsia="仿宋_GB2312" w:cs="Times New Roman Regular"/>
          <w:color w:val="auto"/>
          <w:sz w:val="32"/>
          <w:szCs w:val="32"/>
        </w:rPr>
        <w:t>部门按国家和省要求实施</w:t>
      </w:r>
      <w:r>
        <w:rPr>
          <w:rFonts w:hint="eastAsia" w:ascii="仿宋_GB2312" w:hAnsi="仿宋_GB2312" w:eastAsia="仿宋_GB2312" w:cs="Times New Roman Regular"/>
          <w:color w:val="auto"/>
          <w:sz w:val="32"/>
          <w:szCs w:val="32"/>
        </w:rPr>
        <w:t>工伤保险</w:t>
      </w:r>
      <w:r>
        <w:rPr>
          <w:rFonts w:ascii="仿宋_GB2312" w:hAnsi="仿宋_GB2312" w:eastAsia="仿宋_GB2312" w:cs="Times New Roman Regular"/>
          <w:color w:val="auto"/>
          <w:sz w:val="32"/>
          <w:szCs w:val="32"/>
        </w:rPr>
        <w:t>异地就医</w:t>
      </w:r>
      <w:r>
        <w:rPr>
          <w:rFonts w:hint="eastAsia" w:ascii="仿宋_GB2312" w:hAnsi="仿宋_GB2312" w:eastAsia="仿宋_GB2312" w:cs="Times New Roman Regular"/>
          <w:color w:val="auto"/>
          <w:sz w:val="32"/>
          <w:szCs w:val="32"/>
        </w:rPr>
        <w:t>直接结算</w:t>
      </w:r>
      <w:r>
        <w:rPr>
          <w:rFonts w:ascii="仿宋_GB2312" w:hAnsi="仿宋_GB2312" w:eastAsia="仿宋_GB2312" w:cs="Times New Roman Regular"/>
          <w:color w:val="auto"/>
          <w:sz w:val="32"/>
          <w:szCs w:val="32"/>
        </w:rPr>
        <w:t>相关工作。</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hint="eastAsia" w:ascii="仿宋_GB2312" w:hAnsi="仿宋_GB2312" w:eastAsia="黑体" w:cs="仿宋_GB2312"/>
          <w:color w:val="auto"/>
          <w:sz w:val="32"/>
          <w:szCs w:val="32"/>
        </w:rPr>
      </w:pPr>
      <w:r>
        <w:rPr>
          <w:rFonts w:hint="eastAsia" w:ascii="仿宋_GB2312" w:hAnsi="仿宋_GB2312" w:eastAsia="黑体" w:cs="仿宋_GB2312"/>
          <w:color w:val="auto"/>
          <w:sz w:val="32"/>
          <w:szCs w:val="32"/>
        </w:rPr>
        <w:t xml:space="preserve">第二章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备案管理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黑体" w:cs="黑体"/>
          <w:b w:val="0"/>
          <w:bCs w:val="0"/>
          <w:color w:val="auto"/>
          <w:sz w:val="32"/>
          <w:szCs w:val="32"/>
        </w:rPr>
        <w:t>第八条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工伤保险</w:t>
      </w:r>
      <w:r>
        <w:rPr>
          <w:rFonts w:ascii="仿宋_GB2312" w:hAnsi="仿宋_GB2312" w:eastAsia="仿宋_GB2312" w:cs="Times New Roman Regular"/>
          <w:color w:val="auto"/>
          <w:sz w:val="32"/>
          <w:szCs w:val="32"/>
        </w:rPr>
        <w:t>异地就医</w:t>
      </w:r>
      <w:r>
        <w:rPr>
          <w:rFonts w:hint="eastAsia" w:ascii="仿宋_GB2312" w:hAnsi="仿宋_GB2312" w:eastAsia="仿宋_GB2312" w:cs="Times New Roman Regular"/>
          <w:color w:val="auto"/>
          <w:sz w:val="32"/>
          <w:szCs w:val="32"/>
        </w:rPr>
        <w:t>直接</w:t>
      </w:r>
      <w:r>
        <w:rPr>
          <w:rFonts w:ascii="仿宋_GB2312" w:hAnsi="仿宋_GB2312" w:eastAsia="仿宋_GB2312" w:cs="Times New Roman Regular"/>
          <w:color w:val="auto"/>
          <w:sz w:val="32"/>
          <w:szCs w:val="32"/>
        </w:rPr>
        <w:t>结算实行备案管理。</w:t>
      </w:r>
      <w:r>
        <w:rPr>
          <w:rFonts w:hint="eastAsia" w:ascii="仿宋_GB2312" w:hAnsi="仿宋_GB2312" w:eastAsia="仿宋_GB2312" w:cs="Times New Roman"/>
          <w:color w:val="auto"/>
          <w:sz w:val="32"/>
          <w:szCs w:val="32"/>
        </w:rPr>
        <w:t>工伤职工</w:t>
      </w:r>
      <w:r>
        <w:rPr>
          <w:rFonts w:ascii="仿宋_GB2312" w:hAnsi="仿宋_GB2312" w:eastAsia="仿宋_GB2312" w:cs="Times New Roman Regular"/>
          <w:color w:val="auto"/>
          <w:sz w:val="32"/>
          <w:szCs w:val="32"/>
        </w:rPr>
        <w:t>需要到</w:t>
      </w:r>
      <w:r>
        <w:rPr>
          <w:rFonts w:hint="eastAsia" w:ascii="仿宋_GB2312" w:hAnsi="仿宋_GB2312" w:eastAsia="仿宋_GB2312" w:cs="Times New Roman Regular"/>
          <w:color w:val="auto"/>
          <w:sz w:val="32"/>
          <w:szCs w:val="32"/>
        </w:rPr>
        <w:t>参保地以</w:t>
      </w:r>
      <w:r>
        <w:rPr>
          <w:rFonts w:ascii="仿宋_GB2312" w:hAnsi="仿宋_GB2312" w:eastAsia="仿宋_GB2312" w:cs="Times New Roman Regular"/>
          <w:color w:val="auto"/>
          <w:sz w:val="32"/>
          <w:szCs w:val="32"/>
        </w:rPr>
        <w:t>外就医</w:t>
      </w:r>
      <w:r>
        <w:rPr>
          <w:rFonts w:hint="eastAsia" w:ascii="仿宋_GB2312" w:hAnsi="仿宋_GB2312" w:eastAsia="仿宋_GB2312" w:cs="Times New Roman Regular"/>
          <w:color w:val="auto"/>
          <w:sz w:val="32"/>
          <w:szCs w:val="32"/>
        </w:rPr>
        <w:t>、</w:t>
      </w:r>
      <w:r>
        <w:rPr>
          <w:rFonts w:ascii="仿宋_GB2312" w:hAnsi="仿宋_GB2312" w:eastAsia="仿宋_GB2312" w:cs="Times New Roman Regular"/>
          <w:color w:val="auto"/>
          <w:sz w:val="32"/>
          <w:szCs w:val="32"/>
        </w:rPr>
        <w:t>康复</w:t>
      </w:r>
      <w:r>
        <w:rPr>
          <w:rFonts w:hint="eastAsia" w:ascii="仿宋_GB2312" w:hAnsi="仿宋_GB2312" w:eastAsia="仿宋_GB2312" w:cs="Times New Roman Regular"/>
          <w:color w:val="auto"/>
          <w:sz w:val="32"/>
          <w:szCs w:val="32"/>
        </w:rPr>
        <w:t>或者配置辅助器具</w:t>
      </w:r>
      <w:r>
        <w:rPr>
          <w:rFonts w:ascii="仿宋_GB2312" w:hAnsi="仿宋_GB2312" w:eastAsia="仿宋_GB2312" w:cs="Times New Roman Regular"/>
          <w:color w:val="auto"/>
          <w:sz w:val="32"/>
          <w:szCs w:val="32"/>
        </w:rPr>
        <w:t>的</w:t>
      </w:r>
      <w:r>
        <w:rPr>
          <w:rFonts w:hint="eastAsia" w:ascii="仿宋_GB2312" w:hAnsi="仿宋_GB2312" w:eastAsia="仿宋_GB2312" w:cs="Times New Roman Regular"/>
          <w:color w:val="auto"/>
          <w:sz w:val="32"/>
          <w:szCs w:val="32"/>
        </w:rPr>
        <w:t>，用人单位、</w:t>
      </w:r>
      <w:r>
        <w:rPr>
          <w:rFonts w:ascii="仿宋_GB2312" w:hAnsi="仿宋_GB2312" w:eastAsia="仿宋_GB2312" w:cs="Times New Roman Regular"/>
          <w:color w:val="auto"/>
          <w:sz w:val="32"/>
          <w:szCs w:val="32"/>
        </w:rPr>
        <w:t>工伤职工或者其近亲属</w:t>
      </w:r>
      <w:r>
        <w:rPr>
          <w:rFonts w:hint="eastAsia" w:ascii="仿宋_GB2312" w:hAnsi="仿宋_GB2312" w:eastAsia="仿宋_GB2312" w:cs="Times New Roman"/>
          <w:color w:val="auto"/>
          <w:sz w:val="32"/>
          <w:szCs w:val="32"/>
        </w:rPr>
        <w:t>可通过省、市社保公共服务渠道及</w:t>
      </w:r>
      <w:r>
        <w:rPr>
          <w:rFonts w:hint="eastAsia" w:ascii="仿宋_GB2312" w:hAnsi="仿宋_GB2312" w:eastAsia="仿宋_GB2312"/>
          <w:color w:val="auto"/>
          <w:sz w:val="32"/>
          <w:szCs w:val="32"/>
        </w:rPr>
        <w:t>各级</w:t>
      </w:r>
      <w:r>
        <w:rPr>
          <w:rFonts w:hint="eastAsia" w:ascii="仿宋_GB2312" w:hAnsi="仿宋_GB2312" w:eastAsia="仿宋_GB2312" w:cs="Times New Roman Regular"/>
          <w:color w:val="auto"/>
          <w:sz w:val="32"/>
          <w:szCs w:val="32"/>
        </w:rPr>
        <w:t>社保</w:t>
      </w:r>
      <w:r>
        <w:rPr>
          <w:rFonts w:hint="eastAsia" w:ascii="仿宋_GB2312" w:hAnsi="仿宋_GB2312" w:eastAsia="仿宋_GB2312" w:cs="Times New Roman"/>
          <w:color w:val="auto"/>
          <w:sz w:val="32"/>
          <w:szCs w:val="32"/>
        </w:rPr>
        <w:t>经办服务窗口</w:t>
      </w:r>
      <w:r>
        <w:rPr>
          <w:rFonts w:hint="eastAsia" w:ascii="仿宋_GB2312" w:hAnsi="仿宋_GB2312" w:eastAsia="仿宋_GB2312" w:cs="Times New Roman Regular"/>
          <w:color w:val="auto"/>
          <w:sz w:val="32"/>
          <w:szCs w:val="32"/>
        </w:rPr>
        <w:t>向参保地社保经办机构</w:t>
      </w:r>
      <w:r>
        <w:rPr>
          <w:rFonts w:hint="eastAsia" w:ascii="仿宋_GB2312" w:hAnsi="仿宋_GB2312" w:eastAsia="仿宋_GB2312" w:cs="Times New Roman"/>
          <w:color w:val="auto"/>
          <w:sz w:val="32"/>
          <w:szCs w:val="32"/>
        </w:rPr>
        <w:t>提出备案申请。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第九条</w:t>
      </w:r>
      <w:r>
        <w:rPr>
          <w:rFonts w:hint="eastAsia" w:ascii="仿宋_GB2312" w:hAnsi="仿宋_GB2312" w:eastAsia="仿宋_GB2312" w:cs="Times New Roman"/>
          <w:b/>
          <w:bCs/>
          <w:color w:val="auto"/>
          <w:sz w:val="32"/>
          <w:szCs w:val="32"/>
          <w:lang w:val="en-US" w:eastAsia="zh-CN"/>
        </w:rPr>
        <w:t xml:space="preserve">  </w:t>
      </w:r>
      <w:r>
        <w:rPr>
          <w:rFonts w:ascii="仿宋_GB2312" w:hAnsi="仿宋_GB2312" w:eastAsia="仿宋_GB2312" w:cs="Times New Roman Regular"/>
          <w:color w:val="auto"/>
          <w:sz w:val="32"/>
          <w:szCs w:val="32"/>
        </w:rPr>
        <w:t>因医疗条件所限</w:t>
      </w:r>
      <w:r>
        <w:rPr>
          <w:rFonts w:hint="eastAsia" w:ascii="仿宋_GB2312" w:hAnsi="仿宋_GB2312" w:eastAsia="仿宋_GB2312" w:cs="Times New Roman Regular"/>
          <w:color w:val="auto"/>
          <w:sz w:val="32"/>
          <w:szCs w:val="32"/>
        </w:rPr>
        <w:t>等客观原因</w:t>
      </w:r>
      <w:r>
        <w:rPr>
          <w:rFonts w:ascii="仿宋_GB2312" w:hAnsi="仿宋_GB2312" w:eastAsia="仿宋_GB2312" w:cs="Times New Roman Regular"/>
          <w:color w:val="auto"/>
          <w:sz w:val="32"/>
          <w:szCs w:val="32"/>
        </w:rPr>
        <w:t>需要</w:t>
      </w:r>
      <w:r>
        <w:rPr>
          <w:rFonts w:ascii="仿宋_GB2312" w:hAnsi="仿宋_GB2312" w:eastAsia="仿宋_GB2312" w:cs="Times New Roman Regular"/>
          <w:color w:val="auto"/>
          <w:sz w:val="32"/>
          <w:szCs w:val="32"/>
          <w:lang w:eastAsia="zh-Hans"/>
        </w:rPr>
        <w:t>转诊</w:t>
      </w:r>
      <w:r>
        <w:rPr>
          <w:rFonts w:hint="eastAsia" w:ascii="仿宋_GB2312" w:hAnsi="仿宋_GB2312" w:eastAsia="仿宋_GB2312" w:cs="Times New Roman Regular"/>
          <w:color w:val="auto"/>
          <w:sz w:val="32"/>
          <w:szCs w:val="32"/>
        </w:rPr>
        <w:t>转院和异地长期居住（工作）需在参保地以外</w:t>
      </w:r>
      <w:r>
        <w:rPr>
          <w:rFonts w:ascii="仿宋_GB2312" w:hAnsi="仿宋_GB2312" w:eastAsia="仿宋_GB2312" w:cs="Times New Roman Regular"/>
          <w:color w:val="auto"/>
          <w:sz w:val="32"/>
          <w:szCs w:val="32"/>
        </w:rPr>
        <w:t>就医</w:t>
      </w:r>
      <w:r>
        <w:rPr>
          <w:rFonts w:hint="eastAsia" w:ascii="仿宋_GB2312" w:hAnsi="仿宋_GB2312" w:eastAsia="仿宋_GB2312" w:cs="Times New Roman Regular"/>
          <w:color w:val="auto"/>
          <w:sz w:val="32"/>
          <w:szCs w:val="32"/>
        </w:rPr>
        <w:t>、</w:t>
      </w:r>
      <w:r>
        <w:rPr>
          <w:rFonts w:ascii="仿宋_GB2312" w:hAnsi="仿宋_GB2312" w:eastAsia="仿宋_GB2312" w:cs="Times New Roman Regular"/>
          <w:color w:val="auto"/>
          <w:sz w:val="32"/>
          <w:szCs w:val="32"/>
        </w:rPr>
        <w:t>康复</w:t>
      </w:r>
      <w:r>
        <w:rPr>
          <w:rFonts w:hint="eastAsia" w:ascii="仿宋_GB2312" w:hAnsi="仿宋_GB2312" w:eastAsia="仿宋_GB2312" w:cs="Times New Roman Regular"/>
          <w:color w:val="auto"/>
          <w:sz w:val="32"/>
          <w:szCs w:val="32"/>
        </w:rPr>
        <w:t>的，工伤职工（近亲属）或用人单位应填写提交《山东省工伤保险异地就医（康复）直接结算</w:t>
      </w:r>
      <w:r>
        <w:rPr>
          <w:rFonts w:hint="eastAsia" w:ascii="仿宋_GB2312" w:hAnsi="仿宋_GB2312" w:eastAsia="仿宋_GB2312" w:cs="Times New Roman Regular"/>
          <w:color w:val="auto"/>
          <w:sz w:val="32"/>
          <w:szCs w:val="32"/>
          <w:lang w:eastAsia="zh-CN"/>
        </w:rPr>
        <w:t>备案</w:t>
      </w:r>
      <w:r>
        <w:rPr>
          <w:rFonts w:hint="eastAsia" w:ascii="仿宋_GB2312" w:hAnsi="仿宋_GB2312" w:eastAsia="仿宋_GB2312" w:cs="Times New Roman Regular"/>
          <w:color w:val="auto"/>
          <w:sz w:val="32"/>
          <w:szCs w:val="32"/>
        </w:rPr>
        <w:t>表》（见附件1），</w:t>
      </w:r>
      <w:r>
        <w:rPr>
          <w:rFonts w:hint="eastAsia" w:ascii="仿宋_GB2312" w:hAnsi="仿宋_GB2312" w:eastAsia="仿宋_GB2312" w:cs="Times New Roman"/>
          <w:color w:val="auto"/>
          <w:sz w:val="32"/>
          <w:szCs w:val="32"/>
        </w:rPr>
        <w:t>异地配置辅助器具工伤职工应填写提交《</w:t>
      </w:r>
      <w:r>
        <w:rPr>
          <w:rFonts w:hint="eastAsia" w:ascii="仿宋_GB2312" w:hAnsi="仿宋_GB2312" w:eastAsia="仿宋_GB2312" w:cs="Times New Roman Regular"/>
          <w:color w:val="auto"/>
          <w:sz w:val="32"/>
          <w:szCs w:val="32"/>
        </w:rPr>
        <w:t>山东省工伤保险异地配置辅助器具直接结算备案表</w:t>
      </w:r>
      <w:r>
        <w:rPr>
          <w:rFonts w:hint="eastAsia" w:ascii="仿宋_GB2312" w:hAnsi="仿宋_GB2312" w:eastAsia="仿宋_GB2312" w:cs="Times New Roman"/>
          <w:color w:val="auto"/>
          <w:sz w:val="32"/>
          <w:szCs w:val="32"/>
        </w:rPr>
        <w:t>》</w:t>
      </w:r>
      <w:r>
        <w:rPr>
          <w:rFonts w:hint="eastAsia" w:ascii="仿宋_GB2312" w:hAnsi="仿宋_GB2312" w:eastAsia="仿宋_GB2312" w:cs="Times New Roman Regular"/>
          <w:color w:val="auto"/>
          <w:sz w:val="32"/>
          <w:szCs w:val="32"/>
        </w:rPr>
        <w:t>（见附件2），并按要求分别提交以下材料：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1.异地转诊转院需有</w:t>
      </w:r>
      <w:r>
        <w:rPr>
          <w:rFonts w:ascii="仿宋_GB2312" w:hAnsi="仿宋_GB2312" w:eastAsia="仿宋_GB2312" w:cs="Times New Roman Regular"/>
          <w:color w:val="auto"/>
          <w:sz w:val="32"/>
          <w:szCs w:val="32"/>
        </w:rPr>
        <w:t>参保地工伤保险医疗（康复</w:t>
      </w:r>
      <w:r>
        <w:rPr>
          <w:rFonts w:hint="eastAsia" w:ascii="仿宋_GB2312" w:hAnsi="仿宋_GB2312" w:eastAsia="仿宋_GB2312" w:cs="Times New Roman Regular"/>
          <w:color w:val="auto"/>
          <w:sz w:val="32"/>
          <w:szCs w:val="32"/>
        </w:rPr>
        <w:t>、辅助器具配置</w:t>
      </w:r>
      <w:r>
        <w:rPr>
          <w:rFonts w:ascii="仿宋_GB2312" w:hAnsi="仿宋_GB2312" w:eastAsia="仿宋_GB2312" w:cs="Times New Roman Regular"/>
          <w:color w:val="auto"/>
          <w:sz w:val="32"/>
          <w:szCs w:val="32"/>
        </w:rPr>
        <w:t>）</w:t>
      </w:r>
      <w:r>
        <w:rPr>
          <w:rFonts w:hint="eastAsia" w:ascii="仿宋_GB2312" w:hAnsi="仿宋_GB2312" w:eastAsia="仿宋_GB2312" w:cs="Times New Roman"/>
          <w:color w:val="auto"/>
          <w:sz w:val="32"/>
          <w:szCs w:val="32"/>
        </w:rPr>
        <w:t>协议机构转诊转院意见；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2.省外</w:t>
      </w:r>
      <w:r>
        <w:rPr>
          <w:rFonts w:ascii="仿宋_GB2312" w:hAnsi="仿宋_GB2312" w:eastAsia="仿宋_GB2312" w:cs="Times New Roman Regular"/>
          <w:color w:val="auto"/>
          <w:sz w:val="32"/>
          <w:szCs w:val="32"/>
        </w:rPr>
        <w:t>异地长期居住</w:t>
      </w:r>
      <w:r>
        <w:rPr>
          <w:rFonts w:hint="eastAsia" w:ascii="仿宋_GB2312" w:hAnsi="仿宋_GB2312" w:eastAsia="仿宋_GB2312" w:cs="Times New Roman Regular"/>
          <w:color w:val="auto"/>
          <w:sz w:val="32"/>
          <w:szCs w:val="32"/>
        </w:rPr>
        <w:t>（或工作）</w:t>
      </w:r>
      <w:r>
        <w:rPr>
          <w:rFonts w:hint="eastAsia" w:ascii="仿宋_GB2312" w:hAnsi="仿宋_GB2312" w:eastAsia="仿宋_GB2312" w:cs="Times New Roman"/>
          <w:color w:val="auto"/>
          <w:sz w:val="32"/>
          <w:szCs w:val="32"/>
        </w:rPr>
        <w:t>的，须</w:t>
      </w:r>
      <w:bookmarkStart w:id="1" w:name="_Hlk161931776"/>
      <w:r>
        <w:rPr>
          <w:rFonts w:hint="eastAsia" w:ascii="仿宋_GB2312" w:hAnsi="仿宋_GB2312" w:eastAsia="仿宋_GB2312" w:cs="Times New Roman"/>
          <w:color w:val="auto"/>
          <w:sz w:val="32"/>
          <w:szCs w:val="32"/>
        </w:rPr>
        <w:t>提供</w:t>
      </w:r>
      <w:r>
        <w:rPr>
          <w:rFonts w:ascii="仿宋_GB2312" w:hAnsi="仿宋_GB2312" w:eastAsia="仿宋_GB2312"/>
          <w:color w:val="auto"/>
          <w:sz w:val="32"/>
          <w:szCs w:val="32"/>
        </w:rPr>
        <w:t>异地长期居住佐证材料</w:t>
      </w:r>
      <w:r>
        <w:rPr>
          <w:rFonts w:hint="eastAsia" w:ascii="仿宋_GB2312" w:hAnsi="仿宋_GB2312" w:eastAsia="仿宋_GB2312"/>
          <w:color w:val="auto"/>
          <w:sz w:val="32"/>
          <w:szCs w:val="32"/>
        </w:rPr>
        <w:t>或</w:t>
      </w:r>
      <w:r>
        <w:rPr>
          <w:rFonts w:ascii="仿宋_GB2312" w:hAnsi="仿宋_GB2312" w:eastAsia="仿宋_GB2312"/>
          <w:color w:val="auto"/>
          <w:sz w:val="32"/>
          <w:szCs w:val="32"/>
        </w:rPr>
        <w:t>常驻异地工作佐证材料</w:t>
      </w:r>
      <w:r>
        <w:rPr>
          <w:rFonts w:hint="eastAsia" w:ascii="仿宋_GB2312" w:hAnsi="仿宋_GB2312" w:eastAsia="仿宋_GB2312"/>
          <w:color w:val="auto"/>
          <w:sz w:val="32"/>
          <w:szCs w:val="32"/>
        </w:rPr>
        <w:t>；</w:t>
      </w:r>
      <w:bookmarkEnd w:id="1"/>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w:color w:val="auto"/>
          <w:sz w:val="32"/>
          <w:szCs w:val="32"/>
        </w:rPr>
        <w:t>3.</w:t>
      </w:r>
      <w:r>
        <w:rPr>
          <w:rFonts w:hint="eastAsia" w:ascii="仿宋_GB2312" w:hAnsi="仿宋_GB2312" w:eastAsia="仿宋_GB2312" w:cs="Times New Roman Regular"/>
          <w:color w:val="auto"/>
          <w:sz w:val="32"/>
          <w:szCs w:val="32"/>
        </w:rPr>
        <w:t>工伤职工委托他人申请的，另须提供其有效身份证明及授权委托书。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线下申请的，经办服务窗口应及时受理并将相关材料扫描上传省集中社保信息系统。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黑体" w:cs="黑体"/>
          <w:b w:val="0"/>
          <w:bCs w:val="0"/>
          <w:color w:val="auto"/>
          <w:sz w:val="32"/>
          <w:szCs w:val="32"/>
        </w:rPr>
        <w:t>第十条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参保地社保经办机构通过省集中社保信息系统</w:t>
      </w:r>
      <w:r>
        <w:rPr>
          <w:rFonts w:hint="eastAsia" w:ascii="仿宋_GB2312" w:hAnsi="仿宋_GB2312" w:eastAsia="仿宋_GB2312" w:cs="Times New Roman"/>
          <w:color w:val="auto"/>
          <w:sz w:val="32"/>
          <w:szCs w:val="32"/>
        </w:rPr>
        <w:t>在3个工作日内完成对备案申请信息的审核，审核结果自动上传至省级异地结算系统，并为工伤职工</w:t>
      </w:r>
      <w:r>
        <w:rPr>
          <w:rFonts w:hint="eastAsia" w:ascii="仿宋_GB2312" w:hAnsi="仿宋_GB2312" w:eastAsia="仿宋_GB2312" w:cs="Times New Roman"/>
          <w:bCs/>
          <w:color w:val="auto"/>
          <w:sz w:val="32"/>
          <w:szCs w:val="32"/>
        </w:rPr>
        <w:t>提供审核结果查询服务。</w:t>
      </w:r>
      <w:r>
        <w:rPr>
          <w:rFonts w:hint="eastAsia" w:ascii="仿宋_GB2312" w:hAnsi="仿宋_GB2312" w:eastAsia="仿宋_GB2312" w:cs="Times New Roman"/>
          <w:color w:val="auto"/>
          <w:sz w:val="32"/>
          <w:szCs w:val="32"/>
        </w:rPr>
        <w:t>对于备案材料不齐全的，应一次性告知需补正的材料；对于不符合备案条件的，应将备案结论告知申请人。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w:color w:val="auto"/>
          <w:sz w:val="32"/>
          <w:szCs w:val="32"/>
        </w:rPr>
      </w:pPr>
      <w:r>
        <w:rPr>
          <w:rFonts w:hint="eastAsia" w:ascii="仿宋_GB2312" w:hAnsi="仿宋_GB2312" w:eastAsia="黑体" w:cs="黑体"/>
          <w:b w:val="0"/>
          <w:bCs w:val="0"/>
          <w:color w:val="auto"/>
          <w:sz w:val="32"/>
          <w:szCs w:val="32"/>
        </w:rPr>
        <w:t>第十一条</w:t>
      </w:r>
      <w:bookmarkStart w:id="2" w:name="_Hlk161932520"/>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w:color w:val="auto"/>
          <w:sz w:val="32"/>
          <w:szCs w:val="32"/>
        </w:rPr>
        <w:t>参保地社保经办机构应对工伤职工备案信息进行动态</w:t>
      </w:r>
      <w:bookmarkEnd w:id="2"/>
      <w:r>
        <w:rPr>
          <w:rFonts w:hint="eastAsia" w:ascii="仿宋_GB2312" w:hAnsi="仿宋_GB2312" w:eastAsia="仿宋_GB2312" w:cs="Times New Roman"/>
          <w:color w:val="auto"/>
          <w:sz w:val="32"/>
          <w:szCs w:val="32"/>
        </w:rPr>
        <w:t>管理。参保工伤职工个人信息、就医地发生变更等情况，用人单位、工伤职工或其近亲属应及时申请变更，参保地社保经办机构做相应处理。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第十二条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w:color w:val="auto"/>
          <w:sz w:val="32"/>
          <w:szCs w:val="32"/>
        </w:rPr>
        <w:t>工伤异地</w:t>
      </w:r>
      <w:r>
        <w:rPr>
          <w:rFonts w:ascii="仿宋_GB2312" w:hAnsi="仿宋_GB2312" w:eastAsia="仿宋_GB2312" w:cs="Times New Roman Regular"/>
          <w:color w:val="auto"/>
          <w:sz w:val="32"/>
          <w:szCs w:val="32"/>
          <w:lang w:eastAsia="zh-Hans"/>
        </w:rPr>
        <w:t>转诊</w:t>
      </w:r>
      <w:r>
        <w:rPr>
          <w:rFonts w:hint="eastAsia" w:ascii="仿宋_GB2312" w:hAnsi="仿宋_GB2312" w:eastAsia="仿宋_GB2312" w:cs="Times New Roman Regular"/>
          <w:color w:val="auto"/>
          <w:sz w:val="32"/>
          <w:szCs w:val="32"/>
        </w:rPr>
        <w:t>转院</w:t>
      </w:r>
      <w:r>
        <w:rPr>
          <w:rFonts w:hint="eastAsia" w:ascii="仿宋_GB2312" w:hAnsi="仿宋_GB2312" w:eastAsia="仿宋_GB2312" w:cs="Times New Roman"/>
          <w:color w:val="auto"/>
          <w:sz w:val="32"/>
          <w:szCs w:val="32"/>
        </w:rPr>
        <w:t>门诊就医备案按照往返当次的就医起止日，</w:t>
      </w:r>
      <w:r>
        <w:rPr>
          <w:rFonts w:hint="eastAsia" w:ascii="仿宋_GB2312" w:hAnsi="仿宋_GB2312" w:eastAsia="仿宋_GB2312" w:cs="Times New Roman Regular"/>
          <w:color w:val="auto"/>
          <w:sz w:val="32"/>
          <w:szCs w:val="32"/>
        </w:rPr>
        <w:t>住院就医备案按照入院及出院结算日期确定有效期。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异地长期</w:t>
      </w:r>
      <w:r>
        <w:rPr>
          <w:rFonts w:ascii="仿宋_GB2312" w:hAnsi="仿宋_GB2312" w:eastAsia="仿宋_GB2312" w:cs="Times New Roman Regular"/>
          <w:color w:val="auto"/>
          <w:sz w:val="32"/>
          <w:szCs w:val="32"/>
        </w:rPr>
        <w:t>居住</w:t>
      </w:r>
      <w:r>
        <w:rPr>
          <w:rFonts w:hint="eastAsia" w:ascii="仿宋_GB2312" w:hAnsi="仿宋_GB2312" w:eastAsia="仿宋_GB2312" w:cs="Times New Roman Regular"/>
          <w:color w:val="auto"/>
          <w:sz w:val="32"/>
          <w:szCs w:val="32"/>
        </w:rPr>
        <w:t>（</w:t>
      </w:r>
      <w:r>
        <w:rPr>
          <w:rFonts w:ascii="仿宋_GB2312" w:hAnsi="仿宋_GB2312" w:eastAsia="仿宋_GB2312" w:cs="Times New Roman Regular"/>
          <w:color w:val="auto"/>
          <w:sz w:val="32"/>
          <w:szCs w:val="32"/>
          <w:lang w:eastAsia="zh-Hans"/>
        </w:rPr>
        <w:t>或工作</w:t>
      </w:r>
      <w:r>
        <w:rPr>
          <w:rFonts w:hint="eastAsia" w:ascii="仿宋_GB2312" w:hAnsi="仿宋_GB2312" w:eastAsia="仿宋_GB2312" w:cs="Times New Roman Regular"/>
          <w:color w:val="auto"/>
          <w:sz w:val="32"/>
          <w:szCs w:val="32"/>
          <w:lang w:eastAsia="zh-Hans"/>
        </w:rPr>
        <w:t>）</w:t>
      </w:r>
      <w:r>
        <w:rPr>
          <w:rFonts w:hint="eastAsia" w:ascii="仿宋_GB2312" w:hAnsi="仿宋_GB2312" w:eastAsia="仿宋_GB2312" w:cs="Times New Roman Regular"/>
          <w:color w:val="auto"/>
          <w:sz w:val="32"/>
          <w:szCs w:val="32"/>
        </w:rPr>
        <w:t>的</w:t>
      </w:r>
      <w:r>
        <w:rPr>
          <w:rFonts w:hint="eastAsia" w:ascii="仿宋_GB2312" w:hAnsi="仿宋_GB2312" w:eastAsia="仿宋_GB2312" w:cs="Times New Roman"/>
          <w:color w:val="auto"/>
          <w:sz w:val="32"/>
          <w:szCs w:val="32"/>
        </w:rPr>
        <w:t>工伤异地就医备案</w:t>
      </w:r>
      <w:r>
        <w:rPr>
          <w:rFonts w:hint="eastAsia" w:ascii="仿宋_GB2312" w:hAnsi="仿宋_GB2312" w:eastAsia="仿宋_GB2312" w:cs="Times New Roman Regular"/>
          <w:color w:val="auto"/>
          <w:sz w:val="32"/>
          <w:szCs w:val="32"/>
        </w:rPr>
        <w:t>有效期为12个月，自备案之日起3个月后可以变更或取消备案。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备案有效期内已办理住院手续的，不受备案有效期限制，可正常直接结算相关费用。</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hint="eastAsia" w:ascii="仿宋_GB2312" w:hAnsi="仿宋_GB2312" w:eastAsia="黑体" w:cs="仿宋_GB2312"/>
          <w:color w:val="auto"/>
          <w:sz w:val="32"/>
          <w:szCs w:val="32"/>
        </w:rPr>
      </w:pPr>
      <w:bookmarkStart w:id="3" w:name="_Hlk161933081"/>
      <w:r>
        <w:rPr>
          <w:rFonts w:hint="eastAsia" w:ascii="仿宋_GB2312" w:hAnsi="仿宋_GB2312" w:eastAsia="黑体" w:cs="仿宋_GB2312"/>
          <w:color w:val="auto"/>
          <w:sz w:val="32"/>
          <w:szCs w:val="32"/>
        </w:rPr>
        <w:t>第三章</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 xml:space="preserve"> 就医管理与费用结算</w:t>
      </w:r>
    </w:p>
    <w:bookmarkEnd w:id="3"/>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第十三条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各市社保</w:t>
      </w:r>
      <w:r>
        <w:rPr>
          <w:rFonts w:ascii="仿宋_GB2312" w:hAnsi="仿宋_GB2312" w:eastAsia="仿宋_GB2312" w:cs="Times New Roman Regular"/>
          <w:color w:val="auto"/>
          <w:sz w:val="32"/>
          <w:szCs w:val="32"/>
        </w:rPr>
        <w:t>经办机构按照合理分布、分步纳入的原则，在协议机构范围内，确定异地就医</w:t>
      </w:r>
      <w:r>
        <w:rPr>
          <w:rFonts w:hint="eastAsia" w:ascii="仿宋_GB2312" w:hAnsi="仿宋_GB2312" w:eastAsia="仿宋_GB2312" w:cs="Times New Roman Regular"/>
          <w:color w:val="auto"/>
          <w:sz w:val="32"/>
          <w:szCs w:val="32"/>
        </w:rPr>
        <w:t>直接结算</w:t>
      </w:r>
      <w:r>
        <w:rPr>
          <w:rFonts w:ascii="仿宋_GB2312" w:hAnsi="仿宋_GB2312" w:eastAsia="仿宋_GB2312" w:cs="Times New Roman Regular"/>
          <w:color w:val="auto"/>
          <w:sz w:val="32"/>
          <w:szCs w:val="32"/>
        </w:rPr>
        <w:t>协议机构，上报</w:t>
      </w:r>
      <w:r>
        <w:rPr>
          <w:rFonts w:hint="eastAsia" w:ascii="仿宋_GB2312" w:hAnsi="仿宋_GB2312" w:eastAsia="仿宋_GB2312" w:cs="Times New Roman Regular"/>
          <w:color w:val="auto"/>
          <w:sz w:val="32"/>
          <w:szCs w:val="32"/>
        </w:rPr>
        <w:t>省级社保经办机构</w:t>
      </w:r>
      <w:r>
        <w:rPr>
          <w:rFonts w:ascii="仿宋_GB2312" w:hAnsi="仿宋_GB2312" w:eastAsia="仿宋_GB2312" w:cs="Times New Roman Regular"/>
          <w:color w:val="auto"/>
          <w:sz w:val="32"/>
          <w:szCs w:val="32"/>
        </w:rPr>
        <w:t>，建立</w:t>
      </w:r>
      <w:r>
        <w:rPr>
          <w:rFonts w:hint="eastAsia" w:ascii="仿宋_GB2312" w:hAnsi="仿宋_GB2312" w:eastAsia="仿宋_GB2312" w:cs="Times New Roman Regular"/>
          <w:color w:val="auto"/>
          <w:sz w:val="32"/>
          <w:szCs w:val="32"/>
        </w:rPr>
        <w:t>全</w:t>
      </w:r>
      <w:r>
        <w:rPr>
          <w:rFonts w:ascii="仿宋_GB2312" w:hAnsi="仿宋_GB2312" w:eastAsia="仿宋_GB2312" w:cs="Times New Roman Regular"/>
          <w:color w:val="auto"/>
          <w:sz w:val="32"/>
          <w:szCs w:val="32"/>
        </w:rPr>
        <w:t>省异地就医</w:t>
      </w:r>
      <w:r>
        <w:rPr>
          <w:rFonts w:hint="eastAsia" w:ascii="仿宋_GB2312" w:hAnsi="仿宋_GB2312" w:eastAsia="仿宋_GB2312" w:cs="Times New Roman Regular"/>
          <w:color w:val="auto"/>
          <w:sz w:val="32"/>
          <w:szCs w:val="32"/>
        </w:rPr>
        <w:t>直接结算</w:t>
      </w:r>
      <w:r>
        <w:rPr>
          <w:rFonts w:ascii="仿宋_GB2312" w:hAnsi="仿宋_GB2312" w:eastAsia="仿宋_GB2312" w:cs="Times New Roman Regular"/>
          <w:color w:val="auto"/>
          <w:sz w:val="32"/>
          <w:szCs w:val="32"/>
        </w:rPr>
        <w:t>协议机构库，</w:t>
      </w:r>
      <w:r>
        <w:rPr>
          <w:rFonts w:hint="eastAsia" w:ascii="仿宋_GB2312" w:hAnsi="仿宋_GB2312" w:eastAsia="仿宋_GB2312" w:cs="Times New Roman Regular"/>
          <w:color w:val="auto"/>
          <w:sz w:val="32"/>
          <w:szCs w:val="32"/>
        </w:rPr>
        <w:t>并</w:t>
      </w:r>
      <w:r>
        <w:rPr>
          <w:rFonts w:ascii="仿宋_GB2312" w:hAnsi="仿宋_GB2312" w:eastAsia="仿宋_GB2312" w:cs="Times New Roman Regular"/>
          <w:color w:val="auto"/>
          <w:sz w:val="32"/>
          <w:szCs w:val="32"/>
        </w:rPr>
        <w:t>依托</w:t>
      </w:r>
      <w:r>
        <w:rPr>
          <w:rFonts w:hint="eastAsia" w:ascii="仿宋_GB2312" w:hAnsi="仿宋_GB2312" w:eastAsia="仿宋_GB2312" w:cs="仿宋_GB2312"/>
          <w:color w:val="auto"/>
          <w:sz w:val="32"/>
          <w:szCs w:val="32"/>
          <w:shd w:val="clear" w:color="auto" w:fill="FFFFFF"/>
        </w:rPr>
        <w:t>省级社保公共服务渠道</w:t>
      </w:r>
      <w:r>
        <w:rPr>
          <w:rFonts w:ascii="仿宋_GB2312" w:hAnsi="仿宋_GB2312" w:eastAsia="仿宋_GB2312" w:cs="Times New Roman Regular"/>
          <w:color w:val="auto"/>
          <w:sz w:val="32"/>
          <w:szCs w:val="32"/>
        </w:rPr>
        <w:t>提供协议机构实时查询</w:t>
      </w:r>
      <w:r>
        <w:rPr>
          <w:rFonts w:hint="eastAsia" w:ascii="仿宋_GB2312" w:hAnsi="仿宋_GB2312" w:eastAsia="仿宋_GB2312" w:cs="Times New Roman Regular"/>
          <w:color w:val="auto"/>
          <w:sz w:val="32"/>
          <w:szCs w:val="32"/>
        </w:rPr>
        <w:t>服务</w:t>
      </w:r>
      <w:r>
        <w:rPr>
          <w:rFonts w:ascii="仿宋_GB2312" w:hAnsi="仿宋_GB2312"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ascii="仿宋_GB2312" w:hAnsi="仿宋_GB2312" w:eastAsia="仿宋_GB2312" w:cs="Times New Roman Regular"/>
          <w:color w:val="auto"/>
          <w:sz w:val="32"/>
          <w:szCs w:val="32"/>
        </w:rPr>
        <w:t>省</w:t>
      </w:r>
      <w:r>
        <w:rPr>
          <w:rFonts w:hint="eastAsia" w:ascii="仿宋_GB2312" w:hAnsi="仿宋_GB2312" w:eastAsia="仿宋_GB2312" w:cs="Times New Roman Regular"/>
          <w:color w:val="auto"/>
          <w:sz w:val="32"/>
          <w:szCs w:val="32"/>
        </w:rPr>
        <w:t>内</w:t>
      </w:r>
      <w:r>
        <w:rPr>
          <w:rFonts w:ascii="仿宋_GB2312" w:hAnsi="仿宋_GB2312" w:eastAsia="仿宋_GB2312" w:cs="Times New Roman Regular"/>
          <w:color w:val="auto"/>
          <w:sz w:val="32"/>
          <w:szCs w:val="32"/>
        </w:rPr>
        <w:t>异地就医协议机构发生</w:t>
      </w:r>
      <w:r>
        <w:rPr>
          <w:rFonts w:hint="eastAsia" w:ascii="仿宋_GB2312" w:hAnsi="仿宋_GB2312" w:eastAsia="仿宋_GB2312" w:cs="Times New Roman Regular"/>
          <w:color w:val="auto"/>
          <w:sz w:val="32"/>
          <w:szCs w:val="32"/>
        </w:rPr>
        <w:t>新增、</w:t>
      </w:r>
      <w:r>
        <w:rPr>
          <w:rFonts w:ascii="仿宋_GB2312" w:hAnsi="仿宋_GB2312" w:eastAsia="仿宋_GB2312" w:cs="Times New Roman Regular"/>
          <w:color w:val="auto"/>
          <w:sz w:val="32"/>
          <w:szCs w:val="32"/>
        </w:rPr>
        <w:t>中止或终止协议、停业或歇业等情形的，</w:t>
      </w:r>
      <w:r>
        <w:rPr>
          <w:rFonts w:hint="eastAsia" w:ascii="仿宋_GB2312" w:hAnsi="仿宋_GB2312" w:eastAsia="仿宋_GB2312" w:cs="Times New Roman Regular"/>
          <w:color w:val="auto"/>
          <w:sz w:val="32"/>
          <w:szCs w:val="32"/>
        </w:rPr>
        <w:t>各市社保经办机构</w:t>
      </w:r>
      <w:r>
        <w:rPr>
          <w:rFonts w:ascii="仿宋_GB2312" w:hAnsi="仿宋_GB2312" w:eastAsia="仿宋_GB2312" w:cs="Times New Roman Regular"/>
          <w:color w:val="auto"/>
          <w:sz w:val="32"/>
          <w:szCs w:val="32"/>
        </w:rPr>
        <w:t>应及时</w:t>
      </w:r>
      <w:r>
        <w:rPr>
          <w:rFonts w:hint="eastAsia" w:ascii="仿宋_GB2312" w:hAnsi="仿宋_GB2312" w:eastAsia="仿宋_GB2312" w:cs="Times New Roman Regular"/>
          <w:color w:val="auto"/>
          <w:sz w:val="32"/>
          <w:szCs w:val="32"/>
        </w:rPr>
        <w:t>向省级社保经办机构</w:t>
      </w:r>
      <w:r>
        <w:rPr>
          <w:rFonts w:ascii="仿宋_GB2312" w:hAnsi="仿宋_GB2312" w:eastAsia="仿宋_GB2312" w:cs="Times New Roman Regular"/>
          <w:color w:val="auto"/>
          <w:sz w:val="32"/>
          <w:szCs w:val="32"/>
        </w:rPr>
        <w:t>上报，更新协议机构库</w:t>
      </w:r>
      <w:r>
        <w:rPr>
          <w:rFonts w:hint="eastAsia" w:ascii="仿宋_GB2312" w:hAnsi="仿宋_GB2312" w:eastAsia="仿宋_GB2312" w:cs="Times New Roman Regular"/>
          <w:color w:val="auto"/>
          <w:sz w:val="32"/>
          <w:szCs w:val="32"/>
        </w:rPr>
        <w:t>，实现动态管理维护</w:t>
      </w:r>
      <w:r>
        <w:rPr>
          <w:rFonts w:ascii="仿宋_GB2312" w:hAnsi="仿宋_GB2312"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w:t>
      </w:r>
      <w:r>
        <w:rPr>
          <w:rFonts w:hint="eastAsia" w:ascii="仿宋_GB2312" w:hAnsi="仿宋_GB2312" w:eastAsia="黑体" w:cs="黑体"/>
          <w:b w:val="0"/>
          <w:bCs w:val="0"/>
          <w:color w:val="auto"/>
          <w:sz w:val="32"/>
          <w:szCs w:val="32"/>
          <w:lang w:eastAsia="zh-Hans"/>
        </w:rPr>
        <w:t>十</w:t>
      </w:r>
      <w:r>
        <w:rPr>
          <w:rFonts w:hint="eastAsia" w:ascii="仿宋_GB2312" w:hAnsi="仿宋_GB2312" w:eastAsia="黑体" w:cs="黑体"/>
          <w:b w:val="0"/>
          <w:bCs w:val="0"/>
          <w:color w:val="auto"/>
          <w:sz w:val="32"/>
          <w:szCs w:val="32"/>
        </w:rPr>
        <w:t>四条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就医地协议机构应当</w:t>
      </w:r>
      <w:r>
        <w:rPr>
          <w:rFonts w:ascii="仿宋_GB2312" w:hAnsi="仿宋_GB2312" w:eastAsia="仿宋_GB2312" w:cs="Times New Roman Regular"/>
          <w:color w:val="auto"/>
          <w:sz w:val="32"/>
          <w:szCs w:val="32"/>
        </w:rPr>
        <w:t>为异地就医工伤职工提供与本地工伤职工同等的医疗、康复和辅助器具配置服务。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ascii="仿宋_GB2312" w:hAnsi="仿宋_GB2312" w:eastAsia="仿宋_GB2312" w:cs="Times New Roman Regular"/>
          <w:color w:val="auto"/>
          <w:sz w:val="32"/>
          <w:szCs w:val="32"/>
        </w:rPr>
        <w:t>就医地社保经办机构负责审核在本地区发生的异地就医医疗、康复和辅助器具配置费用。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第十五条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s="Times New Roman Regular"/>
          <w:color w:val="auto"/>
          <w:sz w:val="32"/>
          <w:szCs w:val="32"/>
        </w:rPr>
        <w:t>工伤职工</w:t>
      </w:r>
      <w:r>
        <w:rPr>
          <w:rFonts w:hint="eastAsia" w:ascii="仿宋_GB2312" w:hAnsi="仿宋_GB2312" w:eastAsia="仿宋_GB2312" w:cs="Times New Roman Regular"/>
          <w:color w:val="auto"/>
          <w:sz w:val="32"/>
          <w:szCs w:val="32"/>
        </w:rPr>
        <w:t>须持社会保障卡（含电子社保卡）等有效身份凭证到备案就医地协议机构就医结算，并</w:t>
      </w:r>
      <w:r>
        <w:rPr>
          <w:rFonts w:ascii="仿宋_GB2312" w:hAnsi="仿宋_GB2312" w:eastAsia="仿宋_GB2312" w:cs="Times New Roman Regular"/>
          <w:color w:val="auto"/>
          <w:sz w:val="32"/>
          <w:szCs w:val="32"/>
        </w:rPr>
        <w:t>应遵守</w:t>
      </w:r>
      <w:r>
        <w:rPr>
          <w:rFonts w:hint="eastAsia" w:ascii="仿宋_GB2312" w:hAnsi="仿宋_GB2312" w:eastAsia="仿宋_GB2312" w:cs="Times New Roman Regular"/>
          <w:color w:val="auto"/>
          <w:sz w:val="32"/>
          <w:szCs w:val="32"/>
        </w:rPr>
        <w:t>该</w:t>
      </w:r>
      <w:r>
        <w:rPr>
          <w:rFonts w:ascii="仿宋_GB2312" w:hAnsi="仿宋_GB2312" w:eastAsia="仿宋_GB2312" w:cs="Times New Roman Regular"/>
          <w:color w:val="auto"/>
          <w:sz w:val="32"/>
          <w:szCs w:val="32"/>
        </w:rPr>
        <w:t>协议机构的就医流程和服务规范。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w:t>
      </w:r>
      <w:r>
        <w:rPr>
          <w:rFonts w:hint="eastAsia" w:ascii="仿宋_GB2312" w:hAnsi="仿宋_GB2312" w:eastAsia="黑体" w:cs="黑体"/>
          <w:b w:val="0"/>
          <w:bCs w:val="0"/>
          <w:color w:val="auto"/>
          <w:sz w:val="32"/>
          <w:szCs w:val="32"/>
          <w:lang w:eastAsia="zh-Hans"/>
        </w:rPr>
        <w:t>十</w:t>
      </w:r>
      <w:r>
        <w:rPr>
          <w:rFonts w:hint="eastAsia" w:ascii="仿宋_GB2312" w:hAnsi="仿宋_GB2312" w:eastAsia="黑体" w:cs="黑体"/>
          <w:b w:val="0"/>
          <w:bCs w:val="0"/>
          <w:color w:val="auto"/>
          <w:sz w:val="32"/>
          <w:szCs w:val="32"/>
        </w:rPr>
        <w:t>六条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省内</w:t>
      </w:r>
      <w:r>
        <w:rPr>
          <w:rFonts w:hint="eastAsia" w:ascii="仿宋_GB2312" w:hAnsi="仿宋_GB2312" w:eastAsia="仿宋_GB2312" w:cs="仿宋_GB2312"/>
          <w:color w:val="auto"/>
          <w:sz w:val="32"/>
          <w:szCs w:val="32"/>
        </w:rPr>
        <w:t>异地就医工伤职工直接结算的</w:t>
      </w:r>
      <w:r>
        <w:rPr>
          <w:rFonts w:hint="eastAsia" w:ascii="仿宋_GB2312" w:hAnsi="仿宋_GB2312" w:eastAsia="仿宋_GB2312"/>
          <w:color w:val="auto"/>
          <w:sz w:val="32"/>
          <w:szCs w:val="32"/>
        </w:rPr>
        <w:t>工伤</w:t>
      </w:r>
      <w:r>
        <w:rPr>
          <w:rFonts w:hint="eastAsia" w:ascii="仿宋_GB2312" w:hAnsi="仿宋_GB2312" w:eastAsia="仿宋_GB2312" w:cs="仿宋_GB2312"/>
          <w:color w:val="auto"/>
          <w:sz w:val="32"/>
          <w:szCs w:val="32"/>
        </w:rPr>
        <w:t>医疗费和</w:t>
      </w:r>
      <w:r>
        <w:rPr>
          <w:rFonts w:hint="eastAsia" w:ascii="仿宋_GB2312" w:hAnsi="仿宋_GB2312" w:eastAsia="仿宋_GB2312"/>
          <w:color w:val="auto"/>
          <w:sz w:val="32"/>
          <w:szCs w:val="32"/>
        </w:rPr>
        <w:t>工伤</w:t>
      </w:r>
      <w:r>
        <w:rPr>
          <w:rFonts w:hint="eastAsia" w:ascii="仿宋_GB2312" w:hAnsi="仿宋_GB2312" w:eastAsia="仿宋_GB2312" w:cs="仿宋_GB2312"/>
          <w:color w:val="auto"/>
          <w:sz w:val="32"/>
          <w:szCs w:val="32"/>
        </w:rPr>
        <w:t>康复费，执行就医地工伤保险药品目录、诊疗项目目录、住院服务标准（以下简称三目录）的有关规定。工伤康复服务项目、</w:t>
      </w:r>
      <w:r>
        <w:rPr>
          <w:rFonts w:hint="eastAsia" w:ascii="仿宋_GB2312" w:hAnsi="仿宋_GB2312" w:eastAsia="仿宋_GB2312" w:cs="Times New Roman Regular"/>
          <w:color w:val="auto"/>
          <w:sz w:val="32"/>
          <w:szCs w:val="32"/>
        </w:rPr>
        <w:t>辅助器具配置目录和限额标准执行我省相关规定。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跨省</w:t>
      </w:r>
      <w:r>
        <w:rPr>
          <w:rFonts w:ascii="仿宋_GB2312" w:hAnsi="仿宋_GB2312" w:eastAsia="仿宋_GB2312"/>
          <w:color w:val="auto"/>
          <w:sz w:val="32"/>
          <w:szCs w:val="32"/>
        </w:rPr>
        <w:t>异地就医工伤职工直接结算的住院</w:t>
      </w:r>
      <w:r>
        <w:rPr>
          <w:rFonts w:hint="eastAsia" w:ascii="仿宋_GB2312" w:hAnsi="仿宋_GB2312" w:eastAsia="仿宋_GB2312"/>
          <w:color w:val="auto"/>
          <w:sz w:val="32"/>
          <w:szCs w:val="32"/>
        </w:rPr>
        <w:t>工伤</w:t>
      </w:r>
      <w:r>
        <w:rPr>
          <w:rFonts w:ascii="仿宋_GB2312" w:hAnsi="仿宋_GB2312" w:eastAsia="仿宋_GB2312"/>
          <w:color w:val="auto"/>
          <w:sz w:val="32"/>
          <w:szCs w:val="32"/>
        </w:rPr>
        <w:t>医疗费和住院</w:t>
      </w:r>
      <w:r>
        <w:rPr>
          <w:rFonts w:hint="eastAsia" w:ascii="仿宋_GB2312" w:hAnsi="仿宋_GB2312" w:eastAsia="仿宋_GB2312"/>
          <w:color w:val="auto"/>
          <w:sz w:val="32"/>
          <w:szCs w:val="32"/>
        </w:rPr>
        <w:t>工伤</w:t>
      </w:r>
      <w:r>
        <w:rPr>
          <w:rFonts w:ascii="仿宋_GB2312" w:hAnsi="仿宋_GB2312" w:eastAsia="仿宋_GB2312"/>
          <w:color w:val="auto"/>
          <w:sz w:val="32"/>
          <w:szCs w:val="32"/>
        </w:rPr>
        <w:t>康复费，执行就医地工伤保险</w:t>
      </w:r>
      <w:r>
        <w:rPr>
          <w:rFonts w:hint="eastAsia" w:ascii="仿宋_GB2312" w:hAnsi="仿宋_GB2312" w:eastAsia="仿宋_GB2312"/>
          <w:color w:val="auto"/>
          <w:sz w:val="32"/>
          <w:szCs w:val="32"/>
        </w:rPr>
        <w:t>三目录、</w:t>
      </w:r>
      <w:r>
        <w:rPr>
          <w:rFonts w:ascii="仿宋_GB2312" w:hAnsi="仿宋_GB2312" w:eastAsia="仿宋_GB2312"/>
          <w:color w:val="auto"/>
          <w:sz w:val="32"/>
          <w:szCs w:val="32"/>
        </w:rPr>
        <w:t>工伤康复服务项目等有关规定。</w:t>
      </w:r>
      <w:bookmarkStart w:id="4" w:name="_Hlk161933965"/>
      <w:r>
        <w:rPr>
          <w:rFonts w:ascii="仿宋_GB2312" w:hAnsi="仿宋_GB2312" w:eastAsia="仿宋_GB2312"/>
          <w:color w:val="auto"/>
          <w:sz w:val="32"/>
          <w:szCs w:val="32"/>
        </w:rPr>
        <w:t>辅助器具配置</w:t>
      </w:r>
      <w:r>
        <w:rPr>
          <w:rFonts w:hint="eastAsia" w:ascii="仿宋_GB2312" w:hAnsi="仿宋_GB2312" w:eastAsia="仿宋_GB2312" w:cs="Times New Roman Regular"/>
          <w:color w:val="auto"/>
          <w:sz w:val="32"/>
          <w:szCs w:val="32"/>
        </w:rPr>
        <w:t>目录和限额标准</w:t>
      </w:r>
      <w:r>
        <w:rPr>
          <w:rFonts w:hint="eastAsia" w:ascii="仿宋_GB2312" w:hAnsi="仿宋_GB2312" w:eastAsia="仿宋_GB2312"/>
          <w:color w:val="auto"/>
          <w:sz w:val="32"/>
          <w:szCs w:val="32"/>
        </w:rPr>
        <w:t>执行</w:t>
      </w:r>
      <w:r>
        <w:rPr>
          <w:rFonts w:ascii="仿宋_GB2312" w:hAnsi="仿宋_GB2312" w:eastAsia="仿宋_GB2312"/>
          <w:color w:val="auto"/>
          <w:sz w:val="32"/>
          <w:szCs w:val="32"/>
        </w:rPr>
        <w:t>参保地</w:t>
      </w:r>
      <w:r>
        <w:rPr>
          <w:rFonts w:hint="eastAsia" w:ascii="仿宋_GB2312" w:hAnsi="仿宋_GB2312" w:eastAsia="仿宋_GB2312"/>
          <w:color w:val="auto"/>
          <w:sz w:val="32"/>
          <w:szCs w:val="32"/>
        </w:rPr>
        <w:t>有关规定</w:t>
      </w:r>
      <w:r>
        <w:rPr>
          <w:rFonts w:ascii="仿宋_GB2312" w:hAnsi="仿宋_GB2312" w:eastAsia="仿宋_GB2312"/>
          <w:color w:val="auto"/>
          <w:sz w:val="32"/>
          <w:szCs w:val="32"/>
        </w:rPr>
        <w:t>。</w:t>
      </w:r>
      <w:bookmarkEnd w:id="4"/>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ascii="仿宋_GB2312" w:hAnsi="仿宋_GB2312" w:eastAsia="仿宋_GB2312" w:cs="Times New Roman Regular"/>
          <w:color w:val="auto"/>
          <w:sz w:val="32"/>
          <w:szCs w:val="32"/>
        </w:rPr>
        <w:t>住院伙食补助</w:t>
      </w:r>
      <w:r>
        <w:rPr>
          <w:rFonts w:hint="eastAsia" w:ascii="仿宋_GB2312" w:hAnsi="仿宋_GB2312" w:eastAsia="仿宋_GB2312" w:cs="Times New Roman Regular"/>
          <w:color w:val="auto"/>
          <w:sz w:val="32"/>
          <w:szCs w:val="32"/>
        </w:rPr>
        <w:t>和因异地转诊转院发生的</w:t>
      </w:r>
      <w:r>
        <w:rPr>
          <w:rFonts w:ascii="仿宋_GB2312" w:hAnsi="仿宋_GB2312" w:eastAsia="仿宋_GB2312" w:cs="Times New Roman Regular"/>
          <w:color w:val="auto"/>
          <w:sz w:val="32"/>
          <w:szCs w:val="32"/>
        </w:rPr>
        <w:t>交通食宿费</w:t>
      </w:r>
      <w:r>
        <w:rPr>
          <w:rFonts w:hint="eastAsia" w:ascii="仿宋_GB2312" w:hAnsi="仿宋_GB2312" w:eastAsia="仿宋_GB2312" w:cs="Times New Roman Regular"/>
          <w:color w:val="auto"/>
          <w:sz w:val="32"/>
          <w:szCs w:val="32"/>
        </w:rPr>
        <w:t>由参保地社保经办机构按照参保地政策审核报销</w:t>
      </w:r>
      <w:r>
        <w:rPr>
          <w:rFonts w:ascii="仿宋_GB2312" w:hAnsi="仿宋_GB2312"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第十七条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工伤职工在就医地</w:t>
      </w:r>
      <w:r>
        <w:rPr>
          <w:rFonts w:ascii="仿宋_GB2312" w:hAnsi="仿宋_GB2312" w:eastAsia="仿宋_GB2312" w:cs="Times New Roman Regular"/>
          <w:color w:val="auto"/>
          <w:sz w:val="32"/>
          <w:szCs w:val="32"/>
        </w:rPr>
        <w:t>协议机构</w:t>
      </w:r>
      <w:r>
        <w:rPr>
          <w:rFonts w:hint="eastAsia" w:ascii="仿宋_GB2312" w:hAnsi="仿宋_GB2312" w:eastAsia="仿宋_GB2312" w:cs="Times New Roman Regular"/>
          <w:color w:val="auto"/>
          <w:sz w:val="32"/>
          <w:szCs w:val="32"/>
          <w:lang w:eastAsia="zh-Hans"/>
        </w:rPr>
        <w:t>办理入院登记</w:t>
      </w:r>
      <w:r>
        <w:rPr>
          <w:rFonts w:hint="eastAsia" w:ascii="仿宋_GB2312" w:hAnsi="仿宋_GB2312" w:eastAsia="仿宋_GB2312" w:cs="Times New Roman Regular"/>
          <w:color w:val="auto"/>
          <w:sz w:val="32"/>
          <w:szCs w:val="32"/>
        </w:rPr>
        <w:t>手续或门诊就医（康复）</w:t>
      </w:r>
      <w:r>
        <w:rPr>
          <w:rFonts w:hint="eastAsia" w:ascii="仿宋_GB2312" w:hAnsi="仿宋_GB2312" w:eastAsia="仿宋_GB2312" w:cs="Times New Roman Regular"/>
          <w:color w:val="auto"/>
          <w:sz w:val="32"/>
          <w:szCs w:val="32"/>
          <w:lang w:eastAsia="zh-Hans"/>
        </w:rPr>
        <w:t>时，就医地协议机构调用</w:t>
      </w:r>
      <w:r>
        <w:rPr>
          <w:rFonts w:hint="eastAsia" w:ascii="仿宋_GB2312" w:hAnsi="仿宋_GB2312" w:eastAsia="仿宋_GB2312" w:cs="Times New Roman Regular"/>
          <w:color w:val="auto"/>
          <w:sz w:val="32"/>
          <w:szCs w:val="32"/>
        </w:rPr>
        <w:t>省级异地结算系统核验</w:t>
      </w:r>
      <w:r>
        <w:rPr>
          <w:rFonts w:ascii="仿宋_GB2312" w:hAnsi="仿宋_GB2312" w:eastAsia="仿宋_GB2312" w:cs="Times New Roman Regular"/>
          <w:color w:val="auto"/>
          <w:sz w:val="32"/>
          <w:szCs w:val="32"/>
        </w:rPr>
        <w:t>工伤职工备案信息</w:t>
      </w:r>
      <w:r>
        <w:rPr>
          <w:rFonts w:hint="eastAsia" w:ascii="仿宋_GB2312" w:hAnsi="仿宋_GB2312" w:eastAsia="仿宋_GB2312" w:cs="Times New Roman Regular"/>
          <w:color w:val="auto"/>
          <w:sz w:val="32"/>
          <w:szCs w:val="32"/>
          <w:lang w:eastAsia="zh-Hans"/>
        </w:rPr>
        <w:t>。办理出院结算</w:t>
      </w:r>
      <w:r>
        <w:rPr>
          <w:rFonts w:ascii="仿宋_GB2312" w:hAnsi="仿宋_GB2312" w:eastAsia="仿宋_GB2312" w:cs="Times New Roman Regular"/>
          <w:color w:val="auto"/>
          <w:sz w:val="32"/>
          <w:szCs w:val="32"/>
          <w:lang w:eastAsia="zh-Hans"/>
        </w:rPr>
        <w:t>时，</w:t>
      </w:r>
      <w:r>
        <w:rPr>
          <w:rFonts w:hint="eastAsia" w:ascii="仿宋_GB2312" w:hAnsi="仿宋_GB2312" w:eastAsia="仿宋_GB2312" w:cs="Times New Roman Regular"/>
          <w:color w:val="auto"/>
          <w:sz w:val="32"/>
          <w:szCs w:val="32"/>
          <w:lang w:eastAsia="zh-Hans"/>
        </w:rPr>
        <w:t>再次核对身份信息和备案信息，</w:t>
      </w:r>
      <w:r>
        <w:rPr>
          <w:rFonts w:hint="eastAsia" w:ascii="仿宋_GB2312" w:hAnsi="仿宋_GB2312" w:eastAsia="仿宋_GB2312" w:cs="Times New Roman Regular"/>
          <w:color w:val="auto"/>
          <w:sz w:val="32"/>
          <w:szCs w:val="32"/>
        </w:rPr>
        <w:t>按照就医地政策进行审核和直接结算，并上传至省集中社保信息系统。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黑体"/>
          <w:b w:val="0"/>
          <w:bCs w:val="0"/>
          <w:color w:val="auto"/>
          <w:sz w:val="32"/>
          <w:szCs w:val="32"/>
        </w:rPr>
        <w:t>第十八条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rPr>
        <w:t>工伤职工到异地配置辅助器具的，协议机构应核对工伤职工身份信息和备案信息</w:t>
      </w:r>
      <w:r>
        <w:rPr>
          <w:rFonts w:hint="eastAsia" w:ascii="仿宋_GB2312" w:hAnsi="仿宋_GB2312" w:eastAsia="仿宋_GB2312" w:cs="仿宋_GB2312"/>
          <w:color w:val="auto"/>
          <w:sz w:val="32"/>
          <w:szCs w:val="32"/>
          <w:lang w:eastAsia="zh-Hans"/>
        </w:rPr>
        <w:t>提供</w:t>
      </w:r>
      <w:r>
        <w:rPr>
          <w:rFonts w:hint="eastAsia" w:ascii="仿宋_GB2312" w:hAnsi="仿宋_GB2312" w:eastAsia="仿宋_GB2312" w:cs="仿宋_GB2312"/>
          <w:color w:val="auto"/>
          <w:sz w:val="32"/>
          <w:szCs w:val="32"/>
        </w:rPr>
        <w:t>配置结算</w:t>
      </w:r>
      <w:r>
        <w:rPr>
          <w:rFonts w:hint="eastAsia" w:ascii="仿宋_GB2312" w:hAnsi="仿宋_GB2312" w:eastAsia="仿宋_GB2312" w:cs="仿宋_GB2312"/>
          <w:color w:val="auto"/>
          <w:sz w:val="32"/>
          <w:szCs w:val="32"/>
          <w:lang w:eastAsia="zh-Hans"/>
        </w:rPr>
        <w:t>服务</w:t>
      </w:r>
      <w:r>
        <w:rPr>
          <w:rFonts w:hint="eastAsia" w:ascii="仿宋_GB2312" w:hAnsi="仿宋_GB2312" w:eastAsia="仿宋_GB2312" w:cs="仿宋_GB2312"/>
          <w:color w:val="auto"/>
          <w:sz w:val="32"/>
          <w:szCs w:val="32"/>
        </w:rPr>
        <w:t>。就医地协议机构通过</w:t>
      </w:r>
      <w:r>
        <w:rPr>
          <w:rFonts w:hint="eastAsia" w:ascii="仿宋_GB2312" w:hAnsi="仿宋_GB2312" w:eastAsia="仿宋_GB2312" w:cs="Times New Roman Regular"/>
          <w:color w:val="auto"/>
          <w:sz w:val="32"/>
          <w:szCs w:val="32"/>
        </w:rPr>
        <w:t>省集中社保信息系统</w:t>
      </w:r>
      <w:r>
        <w:rPr>
          <w:rFonts w:hint="eastAsia" w:ascii="仿宋_GB2312" w:hAnsi="仿宋_GB2312" w:eastAsia="仿宋_GB2312" w:cs="仿宋_GB2312"/>
          <w:color w:val="auto"/>
          <w:sz w:val="32"/>
          <w:szCs w:val="32"/>
        </w:rPr>
        <w:t>与就医地社保经办机构结算应</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工伤保险基金支付的费用，超出备案范围和标准的费用工伤保险基金不予支付</w:t>
      </w:r>
      <w:r>
        <w:rPr>
          <w:rFonts w:hint="eastAsia" w:ascii="仿宋_GB2312" w:hAnsi="仿宋_GB2312" w:eastAsia="仿宋_GB2312" w:cs="仿宋_GB2312"/>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黑体" w:cs="黑体"/>
          <w:b w:val="0"/>
          <w:bCs w:val="0"/>
          <w:color w:val="auto"/>
          <w:sz w:val="32"/>
          <w:szCs w:val="32"/>
        </w:rPr>
        <w:t>第十九条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s="Times New Roman Regular"/>
          <w:color w:val="auto"/>
          <w:sz w:val="32"/>
          <w:szCs w:val="32"/>
        </w:rPr>
        <w:t>就医地社保经办机构</w:t>
      </w:r>
      <w:r>
        <w:rPr>
          <w:rFonts w:hint="eastAsia" w:ascii="仿宋_GB2312" w:hAnsi="仿宋_GB2312" w:eastAsia="仿宋_GB2312" w:cs="Times New Roman Regular"/>
          <w:color w:val="auto"/>
          <w:sz w:val="32"/>
          <w:szCs w:val="32"/>
        </w:rPr>
        <w:t>应对协议机构上月发生的异地就医结算费用及时进行审核、对账，完成结算后，省集中社保信息系统自动</w:t>
      </w:r>
      <w:r>
        <w:rPr>
          <w:rFonts w:ascii="仿宋_GB2312" w:hAnsi="仿宋_GB2312" w:eastAsia="仿宋_GB2312" w:cs="Times New Roman Regular"/>
          <w:color w:val="auto"/>
          <w:sz w:val="32"/>
          <w:szCs w:val="32"/>
        </w:rPr>
        <w:t>将</w:t>
      </w:r>
      <w:r>
        <w:rPr>
          <w:rFonts w:hint="eastAsia" w:ascii="仿宋_GB2312" w:hAnsi="仿宋_GB2312" w:eastAsia="仿宋_GB2312" w:cs="Times New Roman Regular"/>
          <w:color w:val="auto"/>
          <w:sz w:val="32"/>
          <w:szCs w:val="32"/>
        </w:rPr>
        <w:t>结算信息</w:t>
      </w:r>
      <w:r>
        <w:rPr>
          <w:rFonts w:ascii="仿宋_GB2312" w:hAnsi="仿宋_GB2312" w:eastAsia="仿宋_GB2312" w:cs="Times New Roman Regular"/>
          <w:color w:val="auto"/>
          <w:sz w:val="32"/>
          <w:szCs w:val="32"/>
        </w:rPr>
        <w:t>上传至</w:t>
      </w:r>
      <w:r>
        <w:rPr>
          <w:rFonts w:hint="eastAsia" w:ascii="仿宋_GB2312" w:hAnsi="仿宋_GB2312" w:eastAsia="仿宋_GB2312" w:cs="Times New Roman Regular"/>
          <w:color w:val="auto"/>
          <w:sz w:val="32"/>
          <w:szCs w:val="32"/>
        </w:rPr>
        <w:t>省级异地结算系统</w:t>
      </w:r>
      <w:r>
        <w:rPr>
          <w:rFonts w:ascii="仿宋_GB2312" w:hAnsi="仿宋_GB2312" w:eastAsia="仿宋_GB2312" w:cs="Times New Roman Regular"/>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pacing w:val="-6"/>
          <w:sz w:val="32"/>
          <w:szCs w:val="32"/>
        </w:rPr>
      </w:pPr>
      <w:r>
        <w:rPr>
          <w:rFonts w:hint="eastAsia" w:ascii="仿宋_GB2312" w:hAnsi="仿宋_GB2312" w:eastAsia="黑体" w:cs="黑体"/>
          <w:b w:val="0"/>
          <w:bCs w:val="0"/>
          <w:color w:val="auto"/>
          <w:sz w:val="32"/>
          <w:szCs w:val="32"/>
        </w:rPr>
        <w:t>第二十条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olor w:val="auto"/>
          <w:spacing w:val="-6"/>
          <w:sz w:val="32"/>
          <w:szCs w:val="32"/>
        </w:rPr>
        <w:t>工伤职工异地就医备案后，因结算网络系统、就医凭证等</w:t>
      </w:r>
      <w:r>
        <w:rPr>
          <w:rFonts w:hint="eastAsia" w:ascii="仿宋_GB2312" w:hAnsi="仿宋_GB2312" w:eastAsia="仿宋_GB2312"/>
          <w:color w:val="auto"/>
          <w:spacing w:val="-6"/>
          <w:sz w:val="32"/>
          <w:szCs w:val="32"/>
        </w:rPr>
        <w:t>问题</w:t>
      </w:r>
      <w:r>
        <w:rPr>
          <w:rFonts w:ascii="仿宋_GB2312" w:hAnsi="仿宋_GB2312" w:eastAsia="仿宋_GB2312"/>
          <w:color w:val="auto"/>
          <w:spacing w:val="-6"/>
          <w:sz w:val="32"/>
          <w:szCs w:val="32"/>
        </w:rPr>
        <w:t>导致无法直接结算的，相关费用回参保地按参保地规定手工报销。</w:t>
      </w:r>
      <w:r>
        <w:rPr>
          <w:rFonts w:hint="eastAsia" w:ascii="仿宋_GB2312" w:hAnsi="仿宋_GB2312" w:eastAsia="仿宋_GB2312"/>
          <w:color w:val="auto"/>
          <w:spacing w:val="-6"/>
          <w:sz w:val="32"/>
          <w:szCs w:val="32"/>
          <w:lang w:eastAsia="zh-Hans"/>
        </w:rPr>
        <w:t>参保地手工报销前，</w:t>
      </w:r>
      <w:r>
        <w:rPr>
          <w:rFonts w:hint="eastAsia" w:ascii="仿宋_GB2312" w:hAnsi="仿宋_GB2312" w:eastAsia="仿宋_GB2312"/>
          <w:color w:val="auto"/>
          <w:sz w:val="32"/>
          <w:szCs w:val="32"/>
          <w:shd w:val="clear" w:color="auto" w:fill="FFFFFF"/>
        </w:rPr>
        <w:t>参保地社保经办机构</w:t>
      </w:r>
      <w:r>
        <w:rPr>
          <w:rFonts w:hint="eastAsia" w:ascii="仿宋_GB2312" w:hAnsi="仿宋_GB2312" w:eastAsia="仿宋_GB2312"/>
          <w:color w:val="auto"/>
          <w:spacing w:val="-6"/>
          <w:sz w:val="32"/>
          <w:szCs w:val="32"/>
          <w:lang w:eastAsia="zh-Hans"/>
        </w:rPr>
        <w:t>应切实履行审查职责，核实工伤职工是否已在就医地直接结算，杜绝重复报销。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textAlignment w:val="auto"/>
        <w:rPr>
          <w:rFonts w:ascii="仿宋_GB2312" w:hAnsi="仿宋_GB2312" w:eastAsia="仿宋_GB2312"/>
          <w:color w:val="auto"/>
          <w:sz w:val="32"/>
          <w:szCs w:val="32"/>
          <w:shd w:val="clear" w:color="auto" w:fill="FFFFFF"/>
        </w:rPr>
      </w:pPr>
      <w:r>
        <w:rPr>
          <w:rFonts w:hint="eastAsia" w:ascii="仿宋_GB2312" w:hAnsi="仿宋_GB2312" w:eastAsia="黑体" w:cs="黑体"/>
          <w:b w:val="0"/>
          <w:bCs w:val="0"/>
          <w:color w:val="auto"/>
          <w:spacing w:val="-6"/>
          <w:sz w:val="32"/>
          <w:szCs w:val="32"/>
        </w:rPr>
        <w:t>第二十一条</w:t>
      </w:r>
      <w:r>
        <w:rPr>
          <w:rFonts w:hint="eastAsia" w:ascii="仿宋_GB2312" w:hAnsi="仿宋_GB2312" w:eastAsia="仿宋_GB2312" w:cs="仿宋_GB2312"/>
          <w:b/>
          <w:bCs/>
          <w:color w:val="auto"/>
          <w:spacing w:val="-6"/>
          <w:sz w:val="32"/>
          <w:szCs w:val="32"/>
        </w:rPr>
        <w:t xml:space="preserve"> </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olor w:val="auto"/>
          <w:sz w:val="32"/>
          <w:szCs w:val="32"/>
          <w:shd w:val="clear" w:color="auto" w:fill="FFFFFF"/>
        </w:rPr>
        <w:t>异地就医的业务档案、财务会计档案和其他档案由参保地经办机构和就医地社保经办机构按其办理的业务分别保管，管理办法按有关规定执行。</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hint="eastAsia" w:ascii="仿宋_GB2312" w:hAnsi="仿宋_GB2312" w:eastAsia="黑体" w:cs="仿宋_GB2312"/>
          <w:color w:val="auto"/>
          <w:sz w:val="32"/>
          <w:szCs w:val="32"/>
        </w:rPr>
      </w:pPr>
      <w:bookmarkStart w:id="5" w:name="_Toc1704004094_WPSOffice_Level1"/>
      <w:r>
        <w:rPr>
          <w:rFonts w:hint="eastAsia" w:ascii="仿宋_GB2312" w:hAnsi="仿宋_GB2312" w:eastAsia="黑体" w:cs="仿宋_GB2312"/>
          <w:color w:val="auto"/>
          <w:sz w:val="32"/>
          <w:szCs w:val="32"/>
        </w:rPr>
        <w:t xml:space="preserve">第四章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资金管理与费用清算</w:t>
      </w:r>
      <w:bookmarkEnd w:id="5"/>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w:t>
      </w:r>
      <w:r>
        <w:rPr>
          <w:rFonts w:hint="eastAsia" w:ascii="仿宋_GB2312" w:hAnsi="仿宋_GB2312" w:eastAsia="黑体" w:cs="黑体"/>
          <w:b w:val="0"/>
          <w:bCs w:val="0"/>
          <w:color w:val="auto"/>
          <w:sz w:val="32"/>
          <w:szCs w:val="32"/>
          <w:lang w:eastAsia="zh-Hans"/>
        </w:rPr>
        <w:t>二十二</w:t>
      </w:r>
      <w:r>
        <w:rPr>
          <w:rFonts w:hint="eastAsia" w:ascii="仿宋_GB2312" w:hAnsi="仿宋_GB2312" w:eastAsia="黑体" w:cs="黑体"/>
          <w:b w:val="0"/>
          <w:bCs w:val="0"/>
          <w:color w:val="auto"/>
          <w:sz w:val="32"/>
          <w:szCs w:val="32"/>
        </w:rPr>
        <w:t>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olor w:val="auto"/>
          <w:sz w:val="32"/>
          <w:szCs w:val="32"/>
          <w:lang w:eastAsia="zh-Hans"/>
        </w:rPr>
        <w:t>预付金是参保省预付给就医省用于支付</w:t>
      </w:r>
      <w:r>
        <w:rPr>
          <w:rFonts w:hint="eastAsia" w:ascii="仿宋_GB2312" w:hAnsi="仿宋_GB2312" w:eastAsia="仿宋_GB2312"/>
          <w:color w:val="auto"/>
          <w:sz w:val="32"/>
          <w:szCs w:val="32"/>
        </w:rPr>
        <w:t>参保省</w:t>
      </w:r>
      <w:r>
        <w:rPr>
          <w:rFonts w:ascii="仿宋_GB2312" w:hAnsi="仿宋_GB2312" w:eastAsia="仿宋_GB2312"/>
          <w:color w:val="auto"/>
          <w:sz w:val="32"/>
          <w:szCs w:val="32"/>
          <w:lang w:eastAsia="zh-Hans"/>
        </w:rPr>
        <w:t>异地就医</w:t>
      </w:r>
      <w:r>
        <w:rPr>
          <w:rFonts w:ascii="仿宋_GB2312" w:hAnsi="仿宋_GB2312" w:eastAsia="仿宋_GB2312"/>
          <w:color w:val="auto"/>
          <w:sz w:val="32"/>
          <w:szCs w:val="32"/>
        </w:rPr>
        <w:t>工伤职工就医</w:t>
      </w:r>
      <w:r>
        <w:rPr>
          <w:rFonts w:ascii="仿宋_GB2312" w:hAnsi="仿宋_GB2312" w:eastAsia="仿宋_GB2312"/>
          <w:color w:val="auto"/>
          <w:sz w:val="32"/>
          <w:szCs w:val="32"/>
          <w:lang w:eastAsia="zh-Hans"/>
        </w:rPr>
        <w:t>费用的资金</w:t>
      </w:r>
      <w:r>
        <w:rPr>
          <w:rFonts w:hint="eastAsia" w:ascii="仿宋_GB2312" w:hAnsi="仿宋_GB2312" w:eastAsia="仿宋_GB2312"/>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ascii="仿宋_GB2312" w:hAnsi="仿宋_GB2312" w:eastAsia="仿宋_GB2312" w:cs="Times New Roman Regular"/>
          <w:color w:val="auto"/>
          <w:sz w:val="32"/>
          <w:szCs w:val="32"/>
        </w:rPr>
        <w:t>异地就医费用清算是指</w:t>
      </w:r>
      <w:r>
        <w:rPr>
          <w:rFonts w:hint="eastAsia" w:ascii="仿宋_GB2312" w:hAnsi="仿宋_GB2312" w:eastAsia="仿宋_GB2312" w:cs="Times New Roman Regular"/>
          <w:color w:val="auto"/>
          <w:sz w:val="32"/>
          <w:szCs w:val="32"/>
        </w:rPr>
        <w:t>参保地与就医地社保经办机构</w:t>
      </w:r>
      <w:r>
        <w:rPr>
          <w:rFonts w:ascii="仿宋_GB2312" w:hAnsi="仿宋_GB2312" w:eastAsia="仿宋_GB2312" w:cs="Times New Roman Regular"/>
          <w:color w:val="auto"/>
          <w:sz w:val="32"/>
          <w:szCs w:val="32"/>
        </w:rPr>
        <w:t>之间确认有关异地就医费用的应收或应付</w:t>
      </w:r>
      <w:r>
        <w:rPr>
          <w:rFonts w:hint="eastAsia" w:ascii="仿宋_GB2312" w:hAnsi="仿宋_GB2312" w:eastAsia="仿宋_GB2312" w:cs="Times New Roman Regular"/>
          <w:color w:val="auto"/>
          <w:sz w:val="32"/>
          <w:szCs w:val="32"/>
        </w:rPr>
        <w:t>金</w:t>
      </w:r>
      <w:r>
        <w:rPr>
          <w:rFonts w:ascii="仿宋_GB2312" w:hAnsi="仿宋_GB2312" w:eastAsia="仿宋_GB2312" w:cs="Times New Roman Regular"/>
          <w:color w:val="auto"/>
          <w:sz w:val="32"/>
          <w:szCs w:val="32"/>
        </w:rPr>
        <w:t>额并</w:t>
      </w:r>
      <w:r>
        <w:rPr>
          <w:rFonts w:hint="eastAsia" w:ascii="仿宋_GB2312" w:hAnsi="仿宋_GB2312" w:eastAsia="仿宋_GB2312" w:cs="Times New Roman Regular"/>
          <w:color w:val="auto"/>
          <w:sz w:val="32"/>
          <w:szCs w:val="32"/>
        </w:rPr>
        <w:t>据此定期统一清算。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Times New Roman Regular"/>
          <w:color w:val="auto"/>
          <w:sz w:val="32"/>
          <w:szCs w:val="32"/>
        </w:rPr>
      </w:pPr>
      <w:r>
        <w:rPr>
          <w:rFonts w:hint="eastAsia" w:ascii="仿宋_GB2312" w:hAnsi="仿宋_GB2312" w:eastAsia="仿宋_GB2312" w:cs="Times New Roman Regular"/>
          <w:color w:val="auto"/>
          <w:sz w:val="32"/>
          <w:szCs w:val="32"/>
        </w:rPr>
        <w:t>省内异地就医费用清算采用按季清分及省内统一记账方式。跨省异地就医预付金和跨省异地就医费用清算按照</w:t>
      </w:r>
      <w:r>
        <w:rPr>
          <w:rFonts w:hint="default" w:ascii="仿宋_GB2312" w:hAnsi="仿宋_GB2312" w:eastAsia="仿宋_GB2312" w:cs="Times New Roman Regular"/>
          <w:color w:val="auto"/>
          <w:sz w:val="32"/>
          <w:szCs w:val="32"/>
        </w:rPr>
        <w:t>人力资源社会保障部</w:t>
      </w:r>
      <w:r>
        <w:rPr>
          <w:rFonts w:hint="eastAsia" w:ascii="仿宋_GB2312" w:hAnsi="仿宋_GB2312" w:eastAsia="仿宋_GB2312" w:cs="Times New Roman Regular"/>
          <w:color w:val="auto"/>
          <w:sz w:val="32"/>
          <w:szCs w:val="32"/>
        </w:rPr>
        <w:t>《工伤保险跨省异地就医直接结算经办规程》（人社部发〔2024〕11号）规定执行。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黑体"/>
          <w:b w:val="0"/>
          <w:bCs w:val="0"/>
          <w:color w:val="auto"/>
          <w:sz w:val="32"/>
          <w:szCs w:val="32"/>
        </w:rPr>
        <w:t>第二十三条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Regular"/>
          <w:color w:val="auto"/>
          <w:sz w:val="32"/>
          <w:szCs w:val="32"/>
        </w:rPr>
        <w:t>每季度末</w:t>
      </w:r>
      <w:r>
        <w:rPr>
          <w:rFonts w:ascii="仿宋_GB2312" w:hAnsi="仿宋_GB2312" w:eastAsia="仿宋_GB2312" w:cs="Times New Roman Regular"/>
          <w:color w:val="auto"/>
          <w:sz w:val="32"/>
          <w:szCs w:val="32"/>
        </w:rPr>
        <w:t>，根据就医地社保经办机构与</w:t>
      </w:r>
      <w:r>
        <w:rPr>
          <w:rFonts w:hint="eastAsia" w:ascii="仿宋_GB2312" w:hAnsi="仿宋_GB2312" w:eastAsia="仿宋_GB2312" w:cs="Times New Roman Regular"/>
          <w:color w:val="auto"/>
          <w:sz w:val="32"/>
          <w:szCs w:val="32"/>
        </w:rPr>
        <w:t>协议</w:t>
      </w:r>
      <w:r>
        <w:rPr>
          <w:rFonts w:ascii="仿宋_GB2312" w:hAnsi="仿宋_GB2312" w:eastAsia="仿宋_GB2312" w:cs="Times New Roman Regular"/>
          <w:color w:val="auto"/>
          <w:sz w:val="32"/>
          <w:szCs w:val="32"/>
        </w:rPr>
        <w:t>机构</w:t>
      </w:r>
      <w:r>
        <w:rPr>
          <w:rFonts w:hint="eastAsia" w:ascii="仿宋_GB2312" w:hAnsi="仿宋_GB2312" w:eastAsia="仿宋_GB2312" w:cs="Times New Roman Regular"/>
          <w:color w:val="auto"/>
          <w:sz w:val="32"/>
          <w:szCs w:val="32"/>
        </w:rPr>
        <w:t>每月</w:t>
      </w:r>
      <w:r>
        <w:rPr>
          <w:rFonts w:ascii="仿宋_GB2312" w:hAnsi="仿宋_GB2312" w:eastAsia="仿宋_GB2312" w:cs="Times New Roman Regular"/>
          <w:color w:val="auto"/>
          <w:sz w:val="32"/>
          <w:szCs w:val="32"/>
        </w:rPr>
        <w:t>对账确认</w:t>
      </w:r>
      <w:r>
        <w:rPr>
          <w:rFonts w:hint="eastAsia" w:ascii="仿宋_GB2312" w:hAnsi="仿宋_GB2312" w:eastAsia="仿宋_GB2312" w:cs="Times New Roman Regular"/>
          <w:color w:val="auto"/>
          <w:sz w:val="32"/>
          <w:szCs w:val="32"/>
        </w:rPr>
        <w:t>后</w:t>
      </w:r>
      <w:r>
        <w:rPr>
          <w:rFonts w:ascii="仿宋_GB2312" w:hAnsi="仿宋_GB2312" w:eastAsia="仿宋_GB2312" w:cs="Times New Roman Regular"/>
          <w:color w:val="auto"/>
          <w:sz w:val="32"/>
          <w:szCs w:val="32"/>
        </w:rPr>
        <w:t>的费用，</w:t>
      </w:r>
      <w:r>
        <w:rPr>
          <w:rFonts w:hint="eastAsia" w:ascii="仿宋_GB2312" w:hAnsi="仿宋_GB2312" w:eastAsia="仿宋_GB2312" w:cs="Times New Roman Regular"/>
          <w:color w:val="auto"/>
          <w:sz w:val="32"/>
          <w:szCs w:val="32"/>
        </w:rPr>
        <w:t>系统自动</w:t>
      </w:r>
      <w:r>
        <w:rPr>
          <w:rFonts w:ascii="仿宋_GB2312" w:hAnsi="仿宋_GB2312" w:eastAsia="仿宋_GB2312" w:cs="Times New Roman Regular"/>
          <w:color w:val="auto"/>
          <w:sz w:val="32"/>
          <w:szCs w:val="32"/>
        </w:rPr>
        <w:t>生成《</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市工伤保险省内异地就医应收费用清算表</w:t>
      </w:r>
      <w:r>
        <w:rPr>
          <w:rFonts w:ascii="仿宋_GB2312" w:hAnsi="仿宋_GB2312" w:eastAsia="仿宋_GB2312" w:cs="Times New Roman Regular"/>
          <w:color w:val="auto"/>
          <w:sz w:val="32"/>
          <w:szCs w:val="32"/>
        </w:rPr>
        <w:t>》（见附件</w:t>
      </w:r>
      <w:r>
        <w:rPr>
          <w:rFonts w:hint="eastAsia" w:ascii="仿宋_GB2312" w:hAnsi="仿宋_GB2312" w:eastAsia="仿宋_GB2312" w:cs="Times New Roman Regular"/>
          <w:color w:val="auto"/>
          <w:sz w:val="32"/>
          <w:szCs w:val="32"/>
        </w:rPr>
        <w:t>3</w:t>
      </w:r>
      <w:r>
        <w:rPr>
          <w:rFonts w:ascii="仿宋_GB2312" w:hAnsi="仿宋_GB2312" w:eastAsia="仿宋_GB2312" w:cs="Times New Roman Regular"/>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市工伤保险省内异地就医应付费用清算表</w:t>
      </w:r>
      <w:r>
        <w:rPr>
          <w:rFonts w:ascii="仿宋_GB2312" w:hAnsi="仿宋_GB2312" w:eastAsia="仿宋_GB2312" w:cs="Times New Roman Regular"/>
          <w:color w:val="auto"/>
          <w:sz w:val="32"/>
          <w:szCs w:val="32"/>
        </w:rPr>
        <w:t>》（见附件</w:t>
      </w:r>
      <w:r>
        <w:rPr>
          <w:rFonts w:hint="eastAsia" w:ascii="仿宋_GB2312" w:hAnsi="仿宋_GB2312" w:eastAsia="仿宋_GB2312" w:cs="Times New Roman Regular"/>
          <w:color w:val="auto"/>
          <w:sz w:val="32"/>
          <w:szCs w:val="32"/>
        </w:rPr>
        <w:t>4</w:t>
      </w:r>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w:t>
      </w:r>
      <w:r>
        <w:rPr>
          <w:rFonts w:ascii="仿宋_GB2312" w:hAnsi="仿宋_GB2312" w:eastAsia="仿宋_GB2312" w:cs="Times New Roman Regular"/>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市工伤保险跨省异地就医应收费用清算表</w:t>
      </w:r>
      <w:r>
        <w:rPr>
          <w:rFonts w:ascii="仿宋_GB2312" w:hAnsi="仿宋_GB2312" w:eastAsia="仿宋_GB2312" w:cs="Times New Roman Regular"/>
          <w:color w:val="auto"/>
          <w:sz w:val="32"/>
          <w:szCs w:val="32"/>
        </w:rPr>
        <w:t>》（见附件</w:t>
      </w:r>
      <w:r>
        <w:rPr>
          <w:rFonts w:hint="eastAsia" w:ascii="仿宋_GB2312" w:hAnsi="仿宋_GB2312" w:eastAsia="仿宋_GB2312" w:cs="Times New Roman Regular"/>
          <w:color w:val="auto"/>
          <w:sz w:val="32"/>
          <w:szCs w:val="32"/>
        </w:rPr>
        <w:t>5</w:t>
      </w:r>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w:t>
      </w:r>
      <w:r>
        <w:rPr>
          <w:rFonts w:ascii="仿宋_GB2312" w:hAnsi="仿宋_GB2312" w:eastAsia="仿宋_GB2312" w:cs="Times New Roman Regular"/>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市工伤保险跨省异地就医应付费用清算表</w:t>
      </w:r>
      <w:r>
        <w:rPr>
          <w:rFonts w:ascii="仿宋_GB2312" w:hAnsi="仿宋_GB2312" w:eastAsia="仿宋_GB2312" w:cs="Times New Roman Regular"/>
          <w:color w:val="auto"/>
          <w:sz w:val="32"/>
          <w:szCs w:val="32"/>
        </w:rPr>
        <w:t>》（见附件</w:t>
      </w:r>
      <w:r>
        <w:rPr>
          <w:rFonts w:hint="eastAsia" w:ascii="仿宋_GB2312" w:hAnsi="仿宋_GB2312" w:eastAsia="仿宋_GB2312" w:cs="Times New Roman Regular"/>
          <w:color w:val="auto"/>
          <w:sz w:val="32"/>
          <w:szCs w:val="32"/>
        </w:rPr>
        <w:t>6</w:t>
      </w:r>
      <w:r>
        <w:rPr>
          <w:rFonts w:ascii="仿宋_GB2312" w:hAnsi="仿宋_GB2312" w:eastAsia="仿宋_GB2312" w:cs="Times New Roman Regular"/>
          <w:color w:val="auto"/>
          <w:sz w:val="32"/>
          <w:szCs w:val="32"/>
        </w:rPr>
        <w:t>），</w:t>
      </w:r>
      <w:r>
        <w:rPr>
          <w:rFonts w:hint="eastAsia" w:ascii="仿宋_GB2312" w:hAnsi="仿宋_GB2312" w:eastAsia="仿宋_GB2312" w:cs="Times New Roman Regular"/>
          <w:color w:val="auto"/>
          <w:sz w:val="32"/>
          <w:szCs w:val="32"/>
        </w:rPr>
        <w:t>参保地社保经办机构</w:t>
      </w:r>
      <w:r>
        <w:rPr>
          <w:rFonts w:ascii="仿宋_GB2312" w:hAnsi="仿宋_GB2312" w:eastAsia="仿宋_GB2312" w:cs="Times New Roman Regular"/>
          <w:color w:val="auto"/>
          <w:sz w:val="32"/>
          <w:szCs w:val="32"/>
        </w:rPr>
        <w:t>通过</w:t>
      </w:r>
      <w:r>
        <w:rPr>
          <w:rFonts w:hint="eastAsia" w:ascii="仿宋_GB2312" w:hAnsi="仿宋_GB2312" w:eastAsia="仿宋_GB2312" w:cs="Times New Roman Regular"/>
          <w:color w:val="auto"/>
          <w:sz w:val="32"/>
          <w:szCs w:val="32"/>
        </w:rPr>
        <w:t>省级异地结算系统</w:t>
      </w:r>
      <w:r>
        <w:rPr>
          <w:rFonts w:ascii="仿宋_GB2312" w:hAnsi="仿宋_GB2312" w:eastAsia="仿宋_GB2312" w:cs="Times New Roman Regular"/>
          <w:color w:val="auto"/>
          <w:sz w:val="32"/>
          <w:szCs w:val="32"/>
        </w:rPr>
        <w:t>查询、下载本</w:t>
      </w:r>
      <w:r>
        <w:rPr>
          <w:rFonts w:hint="eastAsia" w:ascii="仿宋_GB2312" w:hAnsi="仿宋_GB2312" w:eastAsia="仿宋_GB2312" w:cs="Times New Roman Regular"/>
          <w:color w:val="auto"/>
          <w:sz w:val="32"/>
          <w:szCs w:val="32"/>
        </w:rPr>
        <w:t>地</w:t>
      </w:r>
      <w:r>
        <w:rPr>
          <w:rFonts w:ascii="仿宋_GB2312" w:hAnsi="仿宋_GB2312" w:eastAsia="仿宋_GB2312" w:cs="Times New Roman Regular"/>
          <w:color w:val="auto"/>
          <w:sz w:val="32"/>
          <w:szCs w:val="32"/>
        </w:rPr>
        <w:t>上述清算信息，</w:t>
      </w:r>
      <w:r>
        <w:rPr>
          <w:rFonts w:ascii="仿宋_GB2312" w:hAnsi="仿宋_GB2312" w:eastAsia="仿宋_GB2312" w:cs="Times New Roman Regular"/>
          <w:color w:val="auto"/>
          <w:sz w:val="32"/>
          <w:szCs w:val="32"/>
          <w:lang w:eastAsia="zh-Hans"/>
        </w:rPr>
        <w:t>并</w:t>
      </w:r>
      <w:r>
        <w:rPr>
          <w:rFonts w:ascii="仿宋_GB2312" w:hAnsi="仿宋_GB2312" w:eastAsia="仿宋_GB2312" w:cs="Times New Roman Regular"/>
          <w:color w:val="auto"/>
          <w:sz w:val="32"/>
          <w:szCs w:val="32"/>
        </w:rPr>
        <w:t>于季末</w:t>
      </w:r>
      <w:r>
        <w:rPr>
          <w:rFonts w:hint="eastAsia" w:ascii="仿宋_GB2312" w:hAnsi="仿宋_GB2312" w:eastAsia="仿宋_GB2312" w:cs="Times New Roman Regular"/>
          <w:color w:val="auto"/>
          <w:sz w:val="32"/>
          <w:szCs w:val="32"/>
        </w:rPr>
        <w:t>次月</w:t>
      </w:r>
      <w:r>
        <w:rPr>
          <w:rFonts w:hint="default" w:ascii="仿宋_GB2312" w:hAnsi="仿宋_GB2312" w:eastAsia="仿宋_GB2312" w:cs="Times New Roman Regular"/>
          <w:color w:val="auto"/>
          <w:sz w:val="32"/>
          <w:szCs w:val="32"/>
        </w:rPr>
        <w:t>23</w:t>
      </w:r>
      <w:r>
        <w:rPr>
          <w:rFonts w:ascii="仿宋_GB2312" w:hAnsi="仿宋_GB2312" w:eastAsia="仿宋_GB2312" w:cs="Times New Roman Regular"/>
          <w:color w:val="auto"/>
          <w:sz w:val="32"/>
          <w:szCs w:val="32"/>
        </w:rPr>
        <w:t>日前确认</w:t>
      </w:r>
      <w:r>
        <w:rPr>
          <w:rFonts w:hint="eastAsia" w:ascii="仿宋_GB2312" w:hAnsi="仿宋_GB2312" w:eastAsia="仿宋_GB2312" w:cs="Times New Roman Regular"/>
          <w:color w:val="auto"/>
          <w:sz w:val="32"/>
          <w:szCs w:val="32"/>
        </w:rPr>
        <w:t>。上述确认完毕后，各地</w:t>
      </w:r>
      <w:r>
        <w:rPr>
          <w:rFonts w:ascii="仿宋_GB2312" w:hAnsi="仿宋_GB2312" w:eastAsia="仿宋_GB2312" w:cs="Times New Roman Regular"/>
          <w:color w:val="auto"/>
          <w:sz w:val="32"/>
          <w:szCs w:val="32"/>
        </w:rPr>
        <w:t>社保经办机构</w:t>
      </w:r>
      <w:r>
        <w:rPr>
          <w:rFonts w:hint="eastAsia" w:ascii="仿宋_GB2312" w:hAnsi="仿宋_GB2312" w:eastAsia="仿宋_GB2312" w:cs="仿宋_GB2312"/>
          <w:color w:val="auto"/>
          <w:sz w:val="32"/>
          <w:szCs w:val="32"/>
        </w:rPr>
        <w:t>工伤保险省内和跨省异地就医清算信息（详见</w:t>
      </w:r>
      <w:r>
        <w:rPr>
          <w:rFonts w:hint="eastAsia" w:ascii="仿宋_GB2312" w:hAnsi="仿宋_GB2312" w:eastAsia="仿宋_GB2312" w:cs="Times New Roman Regular"/>
          <w:color w:val="auto"/>
          <w:sz w:val="32"/>
          <w:szCs w:val="32"/>
        </w:rPr>
        <w:t>附件7、8、9）</w:t>
      </w:r>
      <w:r>
        <w:rPr>
          <w:rFonts w:hint="eastAsia" w:ascii="仿宋_GB2312" w:hAnsi="仿宋_GB2312" w:eastAsia="仿宋_GB2312" w:cs="仿宋_GB2312"/>
          <w:color w:val="auto"/>
          <w:sz w:val="32"/>
          <w:szCs w:val="32"/>
        </w:rPr>
        <w:t>，通过“暂收款”“暂付款”上解下拨方式在“上级补助收入”“补助下级支出”“下级上解收入”“上解上级支出”等科目按部、省有关规定进行账务处理。</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hint="eastAsia" w:ascii="仿宋_GB2312" w:hAnsi="仿宋_GB2312" w:eastAsia="黑体" w:cs="仿宋_GB2312"/>
          <w:color w:val="auto"/>
          <w:sz w:val="32"/>
          <w:szCs w:val="32"/>
        </w:rPr>
      </w:pPr>
      <w:r>
        <w:rPr>
          <w:rFonts w:hint="eastAsia" w:ascii="仿宋_GB2312" w:hAnsi="仿宋_GB2312" w:eastAsia="黑体" w:cs="仿宋_GB2312"/>
          <w:color w:val="auto"/>
          <w:sz w:val="32"/>
          <w:szCs w:val="32"/>
        </w:rPr>
        <w:t>第五章  核查监督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第二十四条</w:t>
      </w:r>
      <w:r>
        <w:rPr>
          <w:rFonts w:hint="eastAsia" w:ascii="仿宋_GB2312" w:hAnsi="仿宋_GB2312" w:eastAsia="仿宋_GB2312" w:cs="Times New Roman Regular"/>
          <w:b/>
          <w:bCs/>
          <w:color w:val="auto"/>
          <w:sz w:val="32"/>
          <w:szCs w:val="32"/>
          <w:lang w:val="en-US" w:eastAsia="zh-CN"/>
        </w:rPr>
        <w:t xml:space="preserve">  </w:t>
      </w:r>
      <w:r>
        <w:rPr>
          <w:rFonts w:ascii="仿宋_GB2312" w:hAnsi="仿宋_GB2312" w:eastAsia="仿宋_GB2312" w:cs="Times New Roman"/>
          <w:color w:val="auto"/>
          <w:sz w:val="32"/>
          <w:szCs w:val="32"/>
        </w:rPr>
        <w:t>异地就医医疗服务实行就医地管理。就医地社保经办机构</w:t>
      </w:r>
      <w:r>
        <w:rPr>
          <w:rFonts w:hint="eastAsia" w:ascii="仿宋_GB2312" w:hAnsi="仿宋_GB2312" w:eastAsia="仿宋_GB2312" w:cs="Times New Roman"/>
          <w:color w:val="auto"/>
          <w:sz w:val="32"/>
          <w:szCs w:val="32"/>
        </w:rPr>
        <w:t>应</w:t>
      </w:r>
      <w:r>
        <w:rPr>
          <w:rFonts w:ascii="仿宋_GB2312" w:hAnsi="仿宋_GB2312" w:eastAsia="仿宋_GB2312" w:cs="Times New Roman"/>
          <w:color w:val="auto"/>
          <w:sz w:val="32"/>
          <w:szCs w:val="32"/>
        </w:rPr>
        <w:t>将异地就医工作纳入协议管理范围，在协议中明确相关内容，切实保障工伤职工的权益。要指导</w:t>
      </w:r>
      <w:bookmarkStart w:id="6" w:name="_Toc1270436742_WPSOffice_Level1"/>
      <w:bookmarkStart w:id="7" w:name="_Toc52363736_WPSOffice_Level1"/>
      <w:bookmarkStart w:id="8" w:name="_Toc2024007180_WPSOffice_Level1"/>
      <w:bookmarkStart w:id="9" w:name="_Toc396725707_WPSOffice_Level1"/>
      <w:bookmarkStart w:id="10" w:name="_Toc1161830269_WPSOffice_Level1"/>
      <w:bookmarkStart w:id="11" w:name="_Toc1020875671"/>
      <w:bookmarkStart w:id="12" w:name="_Toc9372"/>
      <w:r>
        <w:rPr>
          <w:rFonts w:ascii="仿宋_GB2312" w:hAnsi="仿宋_GB2312" w:eastAsia="仿宋_GB2312" w:cs="Times New Roman"/>
          <w:color w:val="auto"/>
          <w:sz w:val="32"/>
          <w:szCs w:val="32"/>
        </w:rPr>
        <w:t>和督促</w:t>
      </w:r>
      <w:r>
        <w:rPr>
          <w:rFonts w:ascii="仿宋_GB2312" w:hAnsi="仿宋_GB2312" w:eastAsia="仿宋_GB2312" w:cs="Times New Roman"/>
          <w:color w:val="auto"/>
          <w:sz w:val="32"/>
          <w:szCs w:val="32"/>
          <w:lang w:eastAsia="zh-Hans"/>
        </w:rPr>
        <w:t>协议</w:t>
      </w:r>
      <w:r>
        <w:rPr>
          <w:rFonts w:ascii="仿宋_GB2312" w:hAnsi="仿宋_GB2312" w:eastAsia="仿宋_GB2312" w:cs="Times New Roman"/>
          <w:color w:val="auto"/>
          <w:sz w:val="32"/>
          <w:szCs w:val="32"/>
        </w:rPr>
        <w:t>机构按照要求</w:t>
      </w:r>
      <w:r>
        <w:rPr>
          <w:rFonts w:ascii="仿宋_GB2312" w:hAnsi="仿宋_GB2312" w:eastAsia="仿宋_GB2312" w:cs="Times New Roman"/>
          <w:color w:val="auto"/>
          <w:sz w:val="32"/>
          <w:szCs w:val="32"/>
          <w:lang w:eastAsia="zh-Hans"/>
        </w:rPr>
        <w:t>提供服务</w:t>
      </w:r>
      <w:r>
        <w:rPr>
          <w:rFonts w:ascii="仿宋_GB2312" w:hAnsi="仿宋_GB2312" w:eastAsia="仿宋_GB2312" w:cs="Times New Roman"/>
          <w:color w:val="auto"/>
          <w:sz w:val="32"/>
          <w:szCs w:val="32"/>
        </w:rPr>
        <w:t>，及时传输</w:t>
      </w:r>
      <w:r>
        <w:rPr>
          <w:rFonts w:ascii="仿宋_GB2312" w:hAnsi="仿宋_GB2312" w:eastAsia="仿宋_GB2312" w:cs="Times New Roman"/>
          <w:color w:val="auto"/>
          <w:sz w:val="32"/>
          <w:szCs w:val="32"/>
          <w:lang w:eastAsia="zh-Hans"/>
        </w:rPr>
        <w:t>工伤职工</w:t>
      </w:r>
      <w:r>
        <w:rPr>
          <w:rFonts w:ascii="仿宋_GB2312" w:hAnsi="仿宋_GB2312" w:eastAsia="仿宋_GB2312" w:cs="Times New Roman"/>
          <w:color w:val="auto"/>
          <w:sz w:val="32"/>
          <w:szCs w:val="32"/>
        </w:rPr>
        <w:t>就医、结算及其他相关信息，确保信息真实准确，不得篡改作假。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第二十五条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w:b/>
          <w:bCs/>
          <w:color w:val="auto"/>
          <w:sz w:val="32"/>
          <w:szCs w:val="32"/>
          <w:lang w:val="en-US" w:eastAsia="zh-CN"/>
        </w:rPr>
        <w:t xml:space="preserve">   </w:t>
      </w:r>
      <w:r>
        <w:rPr>
          <w:rFonts w:ascii="仿宋_GB2312" w:hAnsi="仿宋_GB2312" w:eastAsia="仿宋_GB2312" w:cs="Times New Roman"/>
          <w:color w:val="auto"/>
          <w:sz w:val="32"/>
          <w:szCs w:val="32"/>
        </w:rPr>
        <w:t>就医地社保经办机构应当建立异地就医工伤职工的投诉举报渠道，及时受理投诉</w:t>
      </w:r>
      <w:r>
        <w:rPr>
          <w:rFonts w:hint="eastAsia" w:ascii="仿宋_GB2312" w:hAnsi="仿宋_GB2312" w:eastAsia="仿宋_GB2312" w:cs="Times New Roman"/>
          <w:color w:val="auto"/>
          <w:sz w:val="32"/>
          <w:szCs w:val="32"/>
        </w:rPr>
        <w:t>举报</w:t>
      </w:r>
      <w:r>
        <w:rPr>
          <w:rFonts w:ascii="仿宋_GB2312" w:hAnsi="仿宋_GB2312" w:eastAsia="仿宋_GB2312" w:cs="Times New Roman"/>
          <w:color w:val="auto"/>
          <w:sz w:val="32"/>
          <w:szCs w:val="32"/>
        </w:rPr>
        <w:t>并将结果告知投诉</w:t>
      </w:r>
      <w:r>
        <w:rPr>
          <w:rFonts w:hint="eastAsia" w:ascii="仿宋_GB2312" w:hAnsi="仿宋_GB2312" w:eastAsia="仿宋_GB2312" w:cs="Times New Roman"/>
          <w:color w:val="auto"/>
          <w:sz w:val="32"/>
          <w:szCs w:val="32"/>
        </w:rPr>
        <w:t>举报</w:t>
      </w:r>
      <w:r>
        <w:rPr>
          <w:rFonts w:ascii="仿宋_GB2312" w:hAnsi="仿宋_GB2312" w:eastAsia="仿宋_GB2312" w:cs="Times New Roman"/>
          <w:color w:val="auto"/>
          <w:sz w:val="32"/>
          <w:szCs w:val="32"/>
        </w:rPr>
        <w:t>人。对查实的重大违法违规行为应按相关规定执行并上报。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第二十六条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s="Times New Roman"/>
          <w:color w:val="auto"/>
          <w:sz w:val="32"/>
          <w:szCs w:val="32"/>
        </w:rPr>
        <w:t>就医地社保经办机构发现异地就医工伤职工有严重违规行为的，应暂停其直接结算，同时</w:t>
      </w:r>
      <w:r>
        <w:rPr>
          <w:rFonts w:hint="eastAsia" w:ascii="仿宋_GB2312" w:hAnsi="仿宋_GB2312" w:eastAsia="仿宋_GB2312" w:cs="Times New Roman"/>
          <w:color w:val="auto"/>
          <w:sz w:val="32"/>
          <w:szCs w:val="32"/>
        </w:rPr>
        <w:t>逐级</w:t>
      </w:r>
      <w:r>
        <w:rPr>
          <w:rFonts w:ascii="仿宋_GB2312" w:hAnsi="仿宋_GB2312" w:eastAsia="仿宋_GB2312" w:cs="Times New Roman"/>
          <w:color w:val="auto"/>
          <w:sz w:val="32"/>
          <w:szCs w:val="32"/>
        </w:rPr>
        <w:t>上报</w:t>
      </w:r>
      <w:r>
        <w:rPr>
          <w:rFonts w:hint="eastAsia" w:ascii="仿宋_GB2312" w:hAnsi="仿宋_GB2312" w:eastAsia="仿宋_GB2312" w:cs="Times New Roman"/>
          <w:color w:val="auto"/>
          <w:sz w:val="32"/>
          <w:szCs w:val="32"/>
        </w:rPr>
        <w:t>省</w:t>
      </w:r>
      <w:r>
        <w:rPr>
          <w:rFonts w:ascii="仿宋_GB2312" w:hAnsi="仿宋_GB2312" w:eastAsia="仿宋_GB2312" w:cs="Times New Roman"/>
          <w:color w:val="auto"/>
          <w:sz w:val="32"/>
          <w:szCs w:val="32"/>
        </w:rPr>
        <w:t>级</w:t>
      </w:r>
      <w:r>
        <w:rPr>
          <w:rFonts w:hint="eastAsia" w:ascii="仿宋_GB2312" w:hAnsi="仿宋_GB2312" w:eastAsia="仿宋_GB2312" w:cs="Times New Roman"/>
          <w:color w:val="auto"/>
          <w:sz w:val="32"/>
          <w:szCs w:val="32"/>
        </w:rPr>
        <w:t>社保</w:t>
      </w:r>
      <w:r>
        <w:rPr>
          <w:rFonts w:ascii="仿宋_GB2312" w:hAnsi="仿宋_GB2312" w:eastAsia="仿宋_GB2312" w:cs="Times New Roman"/>
          <w:color w:val="auto"/>
          <w:sz w:val="32"/>
          <w:szCs w:val="32"/>
        </w:rPr>
        <w:t>经办机构</w:t>
      </w:r>
      <w:r>
        <w:rPr>
          <w:rFonts w:hint="eastAsia" w:ascii="仿宋_GB2312" w:hAnsi="仿宋_GB2312" w:eastAsia="仿宋_GB2312" w:cs="Times New Roman"/>
          <w:color w:val="auto"/>
          <w:sz w:val="32"/>
          <w:szCs w:val="32"/>
        </w:rPr>
        <w:t>，省级社保经办机构</w:t>
      </w:r>
      <w:r>
        <w:rPr>
          <w:rFonts w:ascii="仿宋_GB2312" w:hAnsi="仿宋_GB2312" w:eastAsia="仿宋_GB2312" w:cs="Times New Roman"/>
          <w:color w:val="auto"/>
          <w:sz w:val="32"/>
          <w:szCs w:val="32"/>
        </w:rPr>
        <w:t>协调参保地社保经办机构</w:t>
      </w:r>
      <w:r>
        <w:rPr>
          <w:rFonts w:ascii="仿宋_GB2312" w:hAnsi="仿宋_GB2312" w:eastAsia="仿宋_GB2312" w:cs="Times New Roman"/>
          <w:color w:val="auto"/>
          <w:sz w:val="32"/>
          <w:szCs w:val="32"/>
          <w:lang w:eastAsia="zh-Hans"/>
        </w:rPr>
        <w:t>按照</w:t>
      </w:r>
      <w:r>
        <w:rPr>
          <w:rFonts w:ascii="仿宋_GB2312" w:hAnsi="仿宋_GB2312" w:eastAsia="仿宋_GB2312" w:cs="Times New Roman"/>
          <w:color w:val="auto"/>
          <w:sz w:val="32"/>
          <w:szCs w:val="32"/>
        </w:rPr>
        <w:t>相关规定进行处理。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ascii="仿宋_GB2312" w:hAnsi="仿宋_GB2312" w:eastAsia="仿宋_GB2312" w:cs="Times New Roman"/>
          <w:color w:val="auto"/>
          <w:sz w:val="32"/>
          <w:szCs w:val="32"/>
        </w:rPr>
        <w:t>就医地社保经办机构应协助参保地社保经办机构进行医疗票据核查等工作，保证费用的真实性，防范和打击伪造票据等骗取工伤保险基金行为。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第二十七条</w:t>
      </w:r>
      <w:r>
        <w:rPr>
          <w:rFonts w:hint="eastAsia" w:ascii="仿宋_GB2312" w:hAnsi="仿宋_GB2312" w:eastAsia="黑体" w:cs="黑体"/>
          <w:b w:val="0"/>
          <w:bCs w:val="0"/>
          <w:color w:val="auto"/>
          <w:sz w:val="32"/>
          <w:szCs w:val="32"/>
          <w:lang w:val="en-US" w:eastAsia="zh-CN"/>
        </w:rPr>
        <w:t xml:space="preserve">  </w:t>
      </w:r>
      <w:r>
        <w:rPr>
          <w:rFonts w:hint="eastAsia" w:ascii="仿宋_GB2312" w:hAnsi="仿宋_GB2312" w:eastAsia="仿宋_GB2312" w:cs="Times New Roman"/>
          <w:color w:val="auto"/>
          <w:sz w:val="32"/>
          <w:szCs w:val="32"/>
        </w:rPr>
        <w:t>省</w:t>
      </w:r>
      <w:r>
        <w:rPr>
          <w:rFonts w:ascii="仿宋_GB2312" w:hAnsi="仿宋_GB2312" w:eastAsia="仿宋_GB2312" w:cs="Times New Roman"/>
          <w:color w:val="auto"/>
          <w:sz w:val="32"/>
          <w:szCs w:val="32"/>
        </w:rPr>
        <w:t>级</w:t>
      </w:r>
      <w:r>
        <w:rPr>
          <w:rFonts w:hint="eastAsia" w:ascii="仿宋_GB2312" w:hAnsi="仿宋_GB2312" w:eastAsia="仿宋_GB2312" w:cs="Times New Roman"/>
          <w:color w:val="auto"/>
          <w:sz w:val="32"/>
          <w:szCs w:val="32"/>
        </w:rPr>
        <w:t>社保</w:t>
      </w:r>
      <w:r>
        <w:rPr>
          <w:rFonts w:ascii="仿宋_GB2312" w:hAnsi="仿宋_GB2312" w:eastAsia="仿宋_GB2312" w:cs="Times New Roman"/>
          <w:color w:val="auto"/>
          <w:sz w:val="32"/>
          <w:szCs w:val="32"/>
        </w:rPr>
        <w:t>经办机构适时组织各</w:t>
      </w:r>
      <w:r>
        <w:rPr>
          <w:rFonts w:hint="eastAsia" w:ascii="仿宋_GB2312" w:hAnsi="仿宋_GB2312" w:eastAsia="仿宋_GB2312" w:cs="Times New Roman"/>
          <w:color w:val="auto"/>
          <w:sz w:val="32"/>
          <w:szCs w:val="32"/>
        </w:rPr>
        <w:t>市社保</w:t>
      </w:r>
      <w:r>
        <w:rPr>
          <w:rFonts w:ascii="仿宋_GB2312" w:hAnsi="仿宋_GB2312" w:eastAsia="仿宋_GB2312" w:cs="Times New Roman"/>
          <w:color w:val="auto"/>
          <w:sz w:val="32"/>
          <w:szCs w:val="32"/>
        </w:rPr>
        <w:t>经办机构以大额、高频次、备案期间</w:t>
      </w:r>
      <w:r>
        <w:rPr>
          <w:rFonts w:hint="eastAsia" w:ascii="仿宋_GB2312" w:hAnsi="仿宋_GB2312" w:eastAsia="仿宋_GB2312" w:cs="Times New Roman"/>
          <w:color w:val="auto"/>
          <w:sz w:val="32"/>
          <w:szCs w:val="32"/>
        </w:rPr>
        <w:t>备案</w:t>
      </w:r>
      <w:r>
        <w:rPr>
          <w:rFonts w:ascii="仿宋_GB2312" w:hAnsi="仿宋_GB2312" w:eastAsia="仿宋_GB2312" w:cs="Times New Roman"/>
          <w:color w:val="auto"/>
          <w:sz w:val="32"/>
          <w:szCs w:val="32"/>
        </w:rPr>
        <w:t>地和参保地双向支出为重点，通过巡查检查、交叉互查、第三方评审等方式，开展异地就医联审互查工作。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olor w:val="auto"/>
          <w:sz w:val="32"/>
          <w:szCs w:val="32"/>
        </w:rPr>
      </w:pPr>
      <w:r>
        <w:rPr>
          <w:rFonts w:hint="eastAsia" w:ascii="仿宋_GB2312" w:hAnsi="仿宋_GB2312" w:eastAsia="黑体" w:cs="黑体"/>
          <w:b w:val="0"/>
          <w:bCs w:val="0"/>
          <w:color w:val="auto"/>
          <w:sz w:val="32"/>
          <w:szCs w:val="32"/>
        </w:rPr>
        <w:t>第二十八条</w:t>
      </w:r>
      <w:r>
        <w:rPr>
          <w:rFonts w:hint="eastAsia" w:ascii="仿宋_GB2312" w:hAnsi="仿宋_GB2312" w:eastAsia="黑体" w:cs="黑体"/>
          <w:b w:val="0"/>
          <w:bCs w:val="0"/>
          <w:color w:val="auto"/>
          <w:sz w:val="32"/>
          <w:szCs w:val="32"/>
          <w:lang w:val="en-US" w:eastAsia="zh-CN"/>
        </w:rPr>
        <w:t xml:space="preserve">  </w:t>
      </w:r>
      <w:r>
        <w:rPr>
          <w:rFonts w:ascii="仿宋_GB2312" w:hAnsi="仿宋_GB2312" w:eastAsia="仿宋_GB2312" w:cs="Times New Roman"/>
          <w:color w:val="auto"/>
          <w:sz w:val="32"/>
          <w:szCs w:val="32"/>
        </w:rPr>
        <w:t>各级</w:t>
      </w:r>
      <w:r>
        <w:rPr>
          <w:rFonts w:hint="eastAsia" w:ascii="仿宋_GB2312" w:hAnsi="仿宋_GB2312" w:eastAsia="仿宋_GB2312" w:cs="Times New Roman"/>
          <w:color w:val="auto"/>
          <w:sz w:val="32"/>
          <w:szCs w:val="32"/>
        </w:rPr>
        <w:t>社保</w:t>
      </w:r>
      <w:r>
        <w:rPr>
          <w:rFonts w:ascii="仿宋_GB2312" w:hAnsi="仿宋_GB2312" w:eastAsia="仿宋_GB2312" w:cs="Times New Roman"/>
          <w:color w:val="auto"/>
          <w:sz w:val="32"/>
          <w:szCs w:val="32"/>
        </w:rPr>
        <w:t>经办机构应加强异地就医</w:t>
      </w:r>
      <w:r>
        <w:rPr>
          <w:rFonts w:hint="eastAsia" w:ascii="仿宋_GB2312" w:hAnsi="仿宋_GB2312" w:eastAsia="仿宋_GB2312" w:cs="Times New Roman"/>
          <w:color w:val="auto"/>
          <w:sz w:val="32"/>
          <w:szCs w:val="32"/>
        </w:rPr>
        <w:t>直接结算运行</w:t>
      </w:r>
      <w:r>
        <w:rPr>
          <w:rFonts w:ascii="仿宋_GB2312" w:hAnsi="仿宋_GB2312" w:eastAsia="仿宋_GB2312" w:cs="Times New Roman"/>
          <w:color w:val="auto"/>
          <w:sz w:val="32"/>
          <w:szCs w:val="32"/>
        </w:rPr>
        <w:t>监控</w:t>
      </w:r>
      <w:r>
        <w:rPr>
          <w:rFonts w:hint="eastAsia" w:ascii="仿宋_GB2312" w:hAnsi="仿宋_GB2312" w:eastAsia="仿宋_GB2312" w:cs="Times New Roman"/>
          <w:color w:val="auto"/>
          <w:sz w:val="32"/>
          <w:szCs w:val="32"/>
        </w:rPr>
        <w:t>和费用审核</w:t>
      </w:r>
      <w:r>
        <w:rPr>
          <w:rFonts w:ascii="仿宋_GB2312" w:hAnsi="仿宋_GB2312" w:eastAsia="仿宋_GB2312" w:cs="Times New Roman"/>
          <w:color w:val="auto"/>
          <w:sz w:val="32"/>
          <w:szCs w:val="32"/>
        </w:rPr>
        <w:t>，健全工伤保险基金运行风险评估预警机制，定期</w:t>
      </w:r>
      <w:r>
        <w:rPr>
          <w:rFonts w:hint="eastAsia" w:ascii="仿宋_GB2312" w:hAnsi="仿宋_GB2312" w:eastAsia="仿宋_GB2312" w:cs="Times New Roman"/>
          <w:color w:val="auto"/>
          <w:sz w:val="32"/>
          <w:szCs w:val="32"/>
        </w:rPr>
        <w:t>开展</w:t>
      </w:r>
      <w:r>
        <w:rPr>
          <w:rFonts w:ascii="仿宋_GB2312" w:hAnsi="仿宋_GB2312" w:eastAsia="仿宋_GB2312" w:cs="Times New Roman"/>
          <w:color w:val="auto"/>
          <w:sz w:val="32"/>
          <w:szCs w:val="32"/>
        </w:rPr>
        <w:t>异地就医直接结算运行分析。</w:t>
      </w:r>
    </w:p>
    <w:p>
      <w:pPr>
        <w:keepNext w:val="0"/>
        <w:keepLines w:val="0"/>
        <w:pageBreakBefore w:val="0"/>
        <w:widowControl w:val="0"/>
        <w:kinsoku/>
        <w:wordWrap/>
        <w:overflowPunct/>
        <w:topLinePunct w:val="0"/>
        <w:autoSpaceDE/>
        <w:autoSpaceDN/>
        <w:bidi w:val="0"/>
        <w:adjustRightInd/>
        <w:snapToGrid/>
        <w:spacing w:before="285" w:beforeLines="90" w:after="285" w:afterLines="90" w:line="560" w:lineRule="exact"/>
        <w:ind w:right="0" w:right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 xml:space="preserve">第六章 </w:t>
      </w:r>
      <w:r>
        <w:rPr>
          <w:rFonts w:ascii="仿宋_GB2312" w:hAnsi="仿宋_GB2312" w:eastAsia="黑体" w:cs="仿宋_GB2312"/>
          <w:color w:val="auto"/>
          <w:sz w:val="32"/>
          <w:szCs w:val="32"/>
        </w:rPr>
        <w:t xml:space="preserve"> </w:t>
      </w:r>
      <w:r>
        <w:rPr>
          <w:rFonts w:hint="eastAsia" w:ascii="仿宋_GB2312" w:hAnsi="仿宋_GB2312" w:eastAsia="黑体" w:cs="仿宋_GB2312"/>
          <w:color w:val="auto"/>
          <w:sz w:val="32"/>
          <w:szCs w:val="32"/>
        </w:rPr>
        <w:t>附</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黑体"/>
          <w:b w:val="0"/>
          <w:bCs w:val="0"/>
          <w:color w:val="auto"/>
          <w:sz w:val="32"/>
          <w:szCs w:val="32"/>
          <w:shd w:val="clear" w:color="auto" w:fill="FFFFFF"/>
        </w:rPr>
        <w:t>第二十九条</w:t>
      </w:r>
      <w:r>
        <w:rPr>
          <w:rFonts w:hint="eastAsia" w:ascii="仿宋_GB2312" w:hAnsi="仿宋_GB2312" w:eastAsia="仿宋_GB2312"/>
          <w:b/>
          <w:bCs/>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rPr>
        <w:t>本规程由山东省社会保险事业中心负责解释。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黑体"/>
          <w:b w:val="0"/>
          <w:bCs w:val="0"/>
          <w:color w:val="auto"/>
          <w:sz w:val="32"/>
          <w:szCs w:val="32"/>
        </w:rPr>
        <w:t>第三十条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本规程自2024年4月1日起实施，之前相关规定与本规程不一致的，按本规程执行。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方正小标宋_GBK"/>
          <w:color w:val="auto"/>
          <w:sz w:val="32"/>
          <w:szCs w:val="32"/>
        </w:rPr>
      </w:pPr>
      <w:r>
        <w:rPr>
          <w:rFonts w:hint="eastAsia" w:ascii="仿宋_GB2312" w:hAnsi="仿宋_GB2312" w:eastAsia="仿宋_GB2312" w:cs="仿宋_GB2312"/>
          <w:color w:val="auto"/>
          <w:sz w:val="32"/>
          <w:szCs w:val="32"/>
        </w:rPr>
        <w:t>附件：</w:t>
      </w:r>
      <w:bookmarkEnd w:id="6"/>
      <w:bookmarkEnd w:id="7"/>
      <w:bookmarkEnd w:id="8"/>
      <w:bookmarkEnd w:id="9"/>
      <w:bookmarkEnd w:id="10"/>
      <w:bookmarkEnd w:id="11"/>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方正小标宋_GBK"/>
          <w:color w:val="auto"/>
          <w:sz w:val="32"/>
          <w:szCs w:val="32"/>
        </w:rPr>
        <w:t>山东省工伤保险异地就医（康复）直接结算</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color w:val="auto"/>
          <w:sz w:val="32"/>
          <w:szCs w:val="32"/>
        </w:rPr>
      </w:pPr>
      <w:r>
        <w:rPr>
          <w:rFonts w:hint="eastAsia" w:ascii="仿宋_GB2312" w:hAnsi="仿宋_GB2312" w:eastAsia="仿宋_GB2312" w:cs="方正小标宋_GBK"/>
          <w:color w:val="auto"/>
          <w:sz w:val="32"/>
          <w:szCs w:val="32"/>
        </w:rPr>
        <w:t>备案表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山东省工伤保险异地配置辅助器具直接结算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备案表</w:t>
      </w:r>
    </w:p>
    <w:bookmarkEnd w:id="12"/>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3.XX市工伤保险省内异地就医应收费用清算表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4.XX市工伤保险省内异地就医应付费用清算表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5</w:t>
      </w:r>
      <w:r>
        <w:rPr>
          <w:rFonts w:hint="eastAsia" w:ascii="仿宋_GB2312" w:hAnsi="仿宋_GB2312" w:eastAsia="仿宋_GB2312"/>
          <w:color w:val="auto"/>
          <w:sz w:val="32"/>
          <w:szCs w:val="32"/>
          <w:lang w:eastAsia="zh-Hans"/>
        </w:rPr>
        <w:t>.</w:t>
      </w:r>
      <w:bookmarkStart w:id="13" w:name="_Toc567586930"/>
      <w:r>
        <w:rPr>
          <w:rFonts w:hint="eastAsia" w:ascii="仿宋_GB2312" w:hAnsi="仿宋_GB2312" w:eastAsia="仿宋_GB2312"/>
          <w:color w:val="auto"/>
          <w:sz w:val="32"/>
          <w:szCs w:val="32"/>
        </w:rPr>
        <w:t>XX市工伤保险跨省异地就医应收费用清算表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6.</w:t>
      </w:r>
      <w:bookmarkStart w:id="14" w:name="_Toc1625575176_WPSOffice_Level1"/>
      <w:bookmarkStart w:id="15" w:name="_Toc1698649089_WPSOffice_Level1"/>
      <w:bookmarkStart w:id="16" w:name="_Toc1994539184_WPSOffice_Level1"/>
      <w:bookmarkStart w:id="17" w:name="_Toc734990829_WPSOffice_Level1"/>
      <w:bookmarkStart w:id="18" w:name="_Toc2081556226_WPSOffice_Level1"/>
      <w:r>
        <w:rPr>
          <w:rFonts w:hint="eastAsia" w:ascii="仿宋_GB2312" w:hAnsi="仿宋_GB2312" w:eastAsia="仿宋_GB2312"/>
          <w:color w:val="auto"/>
          <w:sz w:val="32"/>
          <w:szCs w:val="32"/>
        </w:rPr>
        <w:t>XX市工伤保险跨省异地就医应付费用清算表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7.山东省工伤保险省内异地就医费用清算表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bookmarkEnd w:id="14"/>
      <w:bookmarkEnd w:id="15"/>
      <w:bookmarkEnd w:id="16"/>
      <w:bookmarkEnd w:id="17"/>
      <w:bookmarkEnd w:id="18"/>
      <w:r>
        <w:rPr>
          <w:rFonts w:hint="eastAsia" w:ascii="仿宋_GB2312" w:hAnsi="仿宋_GB2312" w:eastAsia="仿宋_GB2312" w:cs="仿宋_GB2312"/>
          <w:color w:val="auto"/>
          <w:sz w:val="32"/>
          <w:szCs w:val="32"/>
        </w:rPr>
        <w:t>山东省工伤保险跨省异地就医费用清算表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（就医地）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山东省工伤保险跨省异地就医费用清算表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（参保地）</w:t>
      </w:r>
      <w:bookmarkEnd w:id="13"/>
    </w:p>
    <w:p>
      <w:pPr>
        <w:rPr>
          <w:rFonts w:hint="eastAsia" w:ascii="黑体" w:hAnsi="黑体" w:eastAsia="黑体" w:cs="黑体"/>
          <w:color w:val="auto"/>
          <w:sz w:val="32"/>
          <w:szCs w:val="32"/>
        </w:rPr>
      </w:pPr>
      <w:bookmarkStart w:id="19" w:name="_Toc1629072004_WPSOffice_Level1"/>
      <w:bookmarkStart w:id="20" w:name="_Toc1778402676_WPSOffice_Level1"/>
      <w:bookmarkStart w:id="21" w:name="_Toc1377522769_WPSOffice_Level1"/>
      <w:bookmarkStart w:id="22" w:name="_Toc1882159017_WPSOffice_Level1"/>
      <w:bookmarkStart w:id="23" w:name="_Toc2104457860"/>
      <w:bookmarkStart w:id="24" w:name="_附件1："/>
      <w:bookmarkStart w:id="25" w:name="_Toc825475374_WPSOffice_Level1"/>
      <w:bookmarkStart w:id="26" w:name="_Toc1829875673_WPSOffice_Level1"/>
      <w:bookmarkStart w:id="27" w:name="_Toc1162068993_WPSOffice_Level1"/>
      <w:bookmarkStart w:id="28" w:name="_Toc1741285102_WPSOffice_Level1"/>
      <w:bookmarkStart w:id="29" w:name="_Toc878442457_WPSOffice_Level1"/>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pacing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pacing w:line="560" w:lineRule="exact"/>
        <w:ind w:left="13" w:right="151" w:hanging="1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山东省工伤保险异地就医（康复）</w:t>
      </w:r>
    </w:p>
    <w:p>
      <w:pPr>
        <w:keepNext w:val="0"/>
        <w:keepLines w:val="0"/>
        <w:pageBreakBefore w:val="0"/>
        <w:widowControl w:val="0"/>
        <w:kinsoku/>
        <w:wordWrap/>
        <w:overflowPunct/>
        <w:topLinePunct w:val="0"/>
        <w:autoSpaceDE/>
        <w:autoSpaceDN/>
        <w:bidi w:val="0"/>
        <w:adjustRightInd/>
        <w:spacing w:line="560" w:lineRule="exact"/>
        <w:ind w:left="13" w:right="151" w:hanging="1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直接结算备案表</w:t>
      </w:r>
      <w:bookmarkEnd w:id="28"/>
      <w:bookmarkEnd w:id="29"/>
    </w:p>
    <w:tbl>
      <w:tblPr>
        <w:tblStyle w:val="11"/>
        <w:tblpPr w:leftFromText="180" w:rightFromText="180" w:vertAnchor="text" w:horzAnchor="page" w:tblpXSpec="center" w:tblpY="28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822"/>
        <w:gridCol w:w="2013"/>
        <w:gridCol w:w="399"/>
        <w:gridCol w:w="1614"/>
        <w:gridCol w:w="16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rPr>
            </w:pPr>
          </w:p>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工伤职工</w:t>
            </w:r>
            <w:r>
              <w:rPr>
                <w:rFonts w:ascii="Times New Roman" w:hAnsi="Times New Roman" w:eastAsia="仿宋_GB2312" w:cs="Times New Roman"/>
                <w:color w:val="auto"/>
                <w:szCs w:val="21"/>
              </w:rPr>
              <w:t>基本信息</w:t>
            </w:r>
          </w:p>
          <w:p>
            <w:pPr>
              <w:autoSpaceDN w:val="0"/>
              <w:jc w:val="center"/>
              <w:textAlignment w:val="center"/>
              <w:rPr>
                <w:rFonts w:ascii="Times New Roman" w:hAnsi="Times New Roman" w:eastAsia="仿宋_GB2312"/>
                <w:color w:val="auto"/>
                <w:szCs w:val="21"/>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姓名</w:t>
            </w:r>
          </w:p>
        </w:tc>
        <w:tc>
          <w:tcPr>
            <w:tcW w:w="133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98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性别</w:t>
            </w:r>
          </w:p>
        </w:tc>
        <w:tc>
          <w:tcPr>
            <w:tcW w:w="1022" w:type="pct"/>
            <w:tcBorders>
              <w:tl2br w:val="nil"/>
              <w:tr2bl w:val="nil"/>
            </w:tcBorders>
            <w:vAlign w:val="bottom"/>
          </w:tcPr>
          <w:p>
            <w:pPr>
              <w:autoSpaceDN w:val="0"/>
              <w:jc w:val="center"/>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公民身份号码</w:t>
            </w:r>
          </w:p>
        </w:tc>
        <w:tc>
          <w:tcPr>
            <w:tcW w:w="1330" w:type="pct"/>
            <w:gridSpan w:val="2"/>
            <w:tcBorders>
              <w:tl2br w:val="nil"/>
              <w:tr2bl w:val="nil"/>
            </w:tcBorders>
            <w:vAlign w:val="center"/>
          </w:tcPr>
          <w:p>
            <w:pPr>
              <w:autoSpaceDN w:val="0"/>
              <w:jc w:val="left"/>
              <w:textAlignment w:val="bottom"/>
              <w:rPr>
                <w:rFonts w:ascii="Times New Roman" w:hAnsi="Times New Roman" w:eastAsia="仿宋_GB2312"/>
                <w:color w:val="auto"/>
                <w:szCs w:val="21"/>
              </w:rPr>
            </w:pPr>
          </w:p>
        </w:tc>
        <w:tc>
          <w:tcPr>
            <w:tcW w:w="980" w:type="pct"/>
            <w:gridSpan w:val="2"/>
            <w:tcBorders>
              <w:tl2br w:val="nil"/>
              <w:tr2bl w:val="nil"/>
            </w:tcBorders>
            <w:vAlign w:val="center"/>
          </w:tcPr>
          <w:p>
            <w:pPr>
              <w:autoSpaceDN w:val="0"/>
              <w:jc w:val="center"/>
              <w:textAlignment w:val="bottom"/>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受伤部位</w:t>
            </w:r>
          </w:p>
        </w:tc>
        <w:tc>
          <w:tcPr>
            <w:tcW w:w="1022" w:type="pct"/>
            <w:tcBorders>
              <w:tl2br w:val="nil"/>
              <w:tr2bl w:val="nil"/>
            </w:tcBorders>
            <w:vAlign w:val="center"/>
          </w:tcPr>
          <w:p>
            <w:pPr>
              <w:autoSpaceDN w:val="0"/>
              <w:jc w:val="left"/>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pacing w:val="-10"/>
                <w:szCs w:val="21"/>
                <w:lang w:eastAsia="zh-Hans"/>
              </w:rPr>
              <w:t>认定工伤决定书文（编）号</w:t>
            </w:r>
          </w:p>
        </w:tc>
        <w:tc>
          <w:tcPr>
            <w:tcW w:w="133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98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rPr>
              <w:t>联系电话</w:t>
            </w:r>
          </w:p>
        </w:tc>
        <w:tc>
          <w:tcPr>
            <w:tcW w:w="1022" w:type="pct"/>
            <w:tcBorders>
              <w:tl2br w:val="nil"/>
              <w:tr2bl w:val="nil"/>
            </w:tcBorders>
            <w:vAlign w:val="bottom"/>
          </w:tcPr>
          <w:p>
            <w:pPr>
              <w:autoSpaceDN w:val="0"/>
              <w:jc w:val="left"/>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联系地址</w:t>
            </w:r>
          </w:p>
        </w:tc>
        <w:tc>
          <w:tcPr>
            <w:tcW w:w="3333" w:type="pct"/>
            <w:gridSpan w:val="5"/>
            <w:tcBorders>
              <w:tl2br w:val="nil"/>
              <w:tr2bl w:val="nil"/>
            </w:tcBorders>
            <w:vAlign w:val="center"/>
          </w:tcPr>
          <w:p>
            <w:pPr>
              <w:autoSpaceDN w:val="0"/>
              <w:jc w:val="center"/>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备案信息</w:t>
            </w: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rPr>
              <w:t>备案</w:t>
            </w:r>
            <w:r>
              <w:rPr>
                <w:rFonts w:ascii="Times New Roman" w:hAnsi="Times New Roman" w:eastAsia="仿宋_GB2312" w:cs="Times New Roman"/>
                <w:color w:val="auto"/>
                <w:szCs w:val="21"/>
                <w:lang w:eastAsia="zh-Hans"/>
              </w:rPr>
              <w:t>类别</w:t>
            </w:r>
          </w:p>
        </w:tc>
        <w:tc>
          <w:tcPr>
            <w:tcW w:w="1111" w:type="pct"/>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新增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变更</w:t>
            </w:r>
          </w:p>
        </w:tc>
        <w:tc>
          <w:tcPr>
            <w:tcW w:w="1111" w:type="pct"/>
            <w:gridSpan w:val="2"/>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hint="eastAsia" w:ascii="Times New Roman" w:hAnsi="Times New Roman" w:eastAsia="仿宋_GB2312"/>
                <w:color w:val="auto"/>
                <w:szCs w:val="21"/>
              </w:rPr>
              <w:t>备案区域</w:t>
            </w:r>
          </w:p>
        </w:tc>
        <w:tc>
          <w:tcPr>
            <w:tcW w:w="1111" w:type="pct"/>
            <w:gridSpan w:val="2"/>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Hans"/>
              </w:rPr>
              <w:t>省内</w:t>
            </w:r>
            <w:r>
              <w:rPr>
                <w:rFonts w:ascii="Times New Roman" w:hAnsi="Times New Roman" w:eastAsia="仿宋_GB2312" w:cs="Times New Roman"/>
                <w:color w:val="auto"/>
                <w:szCs w:val="21"/>
                <w:lang w:eastAsia="zh-Hans"/>
              </w:rPr>
              <w:t xml:space="preserve">  </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Hans"/>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59"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人员类别</w:t>
            </w:r>
          </w:p>
        </w:tc>
        <w:tc>
          <w:tcPr>
            <w:tcW w:w="3333" w:type="pct"/>
            <w:gridSpan w:val="5"/>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□异地长期居住</w:t>
            </w:r>
            <w:r>
              <w:rPr>
                <w:rFonts w:ascii="Times New Roman" w:hAnsi="Times New Roman" w:eastAsia="仿宋_GB2312" w:cs="Times New Roman"/>
                <w:color w:val="auto"/>
                <w:szCs w:val="21"/>
                <w:lang w:eastAsia="zh-Hans"/>
              </w:rPr>
              <w:t>就医</w:t>
            </w:r>
            <w:r>
              <w:rPr>
                <w:rFonts w:ascii="Times New Roman" w:hAnsi="Times New Roman" w:eastAsia="仿宋_GB2312" w:cs="Times New Roman"/>
                <w:color w:val="auto"/>
                <w:szCs w:val="21"/>
              </w:rPr>
              <w:t>人员 □异地长期居住</w:t>
            </w:r>
            <w:r>
              <w:rPr>
                <w:rFonts w:ascii="Times New Roman" w:hAnsi="Times New Roman" w:eastAsia="仿宋_GB2312" w:cs="Times New Roman"/>
                <w:color w:val="auto"/>
                <w:szCs w:val="21"/>
                <w:lang w:eastAsia="zh-Hans"/>
              </w:rPr>
              <w:t>康复</w:t>
            </w:r>
            <w:r>
              <w:rPr>
                <w:rFonts w:ascii="Times New Roman" w:hAnsi="Times New Roman" w:eastAsia="仿宋_GB2312" w:cs="Times New Roman"/>
                <w:color w:val="auto"/>
                <w:szCs w:val="21"/>
              </w:rPr>
              <w:t xml:space="preserve">人员         </w:t>
            </w:r>
          </w:p>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□常驻异地工作</w:t>
            </w:r>
            <w:r>
              <w:rPr>
                <w:rFonts w:ascii="Times New Roman" w:hAnsi="Times New Roman" w:eastAsia="仿宋_GB2312" w:cs="Times New Roman"/>
                <w:color w:val="auto"/>
                <w:szCs w:val="21"/>
                <w:lang w:eastAsia="zh-Hans"/>
              </w:rPr>
              <w:t>就医</w:t>
            </w:r>
            <w:r>
              <w:rPr>
                <w:rFonts w:ascii="Times New Roman" w:hAnsi="Times New Roman" w:eastAsia="仿宋_GB2312" w:cs="Times New Roman"/>
                <w:color w:val="auto"/>
                <w:szCs w:val="21"/>
              </w:rPr>
              <w:t>人员 □常驻异地工作</w:t>
            </w:r>
            <w:r>
              <w:rPr>
                <w:rFonts w:ascii="Times New Roman" w:hAnsi="Times New Roman" w:eastAsia="仿宋_GB2312" w:cs="Times New Roman"/>
                <w:color w:val="auto"/>
                <w:szCs w:val="21"/>
                <w:lang w:eastAsia="zh-Hans"/>
              </w:rPr>
              <w:t>康复</w:t>
            </w:r>
            <w:r>
              <w:rPr>
                <w:rFonts w:ascii="Times New Roman" w:hAnsi="Times New Roman" w:eastAsia="仿宋_GB2312" w:cs="Times New Roman"/>
                <w:color w:val="auto"/>
                <w:szCs w:val="21"/>
              </w:rPr>
              <w:t>人员</w:t>
            </w:r>
          </w:p>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□异地转诊转院就医人员 □异地转诊转院康复人员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申请人</w:t>
            </w:r>
          </w:p>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基本</w:t>
            </w:r>
            <w:r>
              <w:rPr>
                <w:rFonts w:ascii="Times New Roman" w:hAnsi="Times New Roman" w:eastAsia="仿宋_GB2312" w:cs="Times New Roman"/>
                <w:color w:val="auto"/>
                <w:szCs w:val="21"/>
              </w:rPr>
              <w:t>信息</w:t>
            </w:r>
          </w:p>
        </w:tc>
        <w:tc>
          <w:tcPr>
            <w:tcW w:w="2337" w:type="pct"/>
            <w:gridSpan w:val="3"/>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本人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工伤职工近亲属  </w:t>
            </w:r>
          </w:p>
        </w:tc>
        <w:tc>
          <w:tcPr>
            <w:tcW w:w="98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近亲属姓名</w:t>
            </w:r>
          </w:p>
        </w:tc>
        <w:tc>
          <w:tcPr>
            <w:tcW w:w="1022" w:type="pct"/>
            <w:tcBorders>
              <w:tl2br w:val="nil"/>
              <w:tr2bl w:val="nil"/>
            </w:tcBorders>
            <w:vAlign w:val="center"/>
          </w:tcPr>
          <w:p>
            <w:pPr>
              <w:autoSpaceDN w:val="0"/>
              <w:jc w:val="left"/>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9" w:type="pct"/>
            <w:vMerge w:val="continue"/>
            <w:tcBorders>
              <w:tl2br w:val="nil"/>
              <w:tr2bl w:val="nil"/>
            </w:tcBorders>
            <w:vAlign w:val="center"/>
          </w:tcPr>
          <w:p>
            <w:pPr>
              <w:rPr>
                <w:rFonts w:ascii="Times New Roman" w:hAnsi="Times New Roman"/>
                <w:color w:val="auto"/>
                <w:szCs w:val="21"/>
              </w:rPr>
            </w:pPr>
          </w:p>
        </w:tc>
        <w:tc>
          <w:tcPr>
            <w:tcW w:w="100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近亲属</w:t>
            </w:r>
            <w:r>
              <w:rPr>
                <w:rFonts w:hint="eastAsia" w:ascii="Times New Roman" w:hAnsi="Times New Roman" w:eastAsia="仿宋_GB2312" w:cs="Times New Roman"/>
                <w:color w:val="auto"/>
                <w:szCs w:val="21"/>
              </w:rPr>
              <w:t>公民身份号码</w:t>
            </w:r>
          </w:p>
        </w:tc>
        <w:tc>
          <w:tcPr>
            <w:tcW w:w="1330" w:type="pct"/>
            <w:gridSpan w:val="2"/>
            <w:tcBorders>
              <w:tl2br w:val="nil"/>
              <w:tr2bl w:val="nil"/>
            </w:tcBorders>
            <w:vAlign w:val="bottom"/>
          </w:tcPr>
          <w:p>
            <w:pPr>
              <w:autoSpaceDN w:val="0"/>
              <w:jc w:val="center"/>
              <w:textAlignment w:val="center"/>
              <w:rPr>
                <w:rFonts w:ascii="Times New Roman" w:hAnsi="Times New Roman" w:eastAsia="仿宋_GB2312"/>
                <w:color w:val="auto"/>
                <w:szCs w:val="21"/>
              </w:rPr>
            </w:pPr>
          </w:p>
        </w:tc>
        <w:tc>
          <w:tcPr>
            <w:tcW w:w="980" w:type="pct"/>
            <w:gridSpan w:val="2"/>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联系方式</w:t>
            </w:r>
          </w:p>
        </w:tc>
        <w:tc>
          <w:tcPr>
            <w:tcW w:w="1022" w:type="pct"/>
            <w:tcBorders>
              <w:tl2br w:val="nil"/>
              <w:tr2bl w:val="nil"/>
            </w:tcBorders>
            <w:vAlign w:val="bottom"/>
          </w:tcPr>
          <w:p>
            <w:pPr>
              <w:autoSpaceDN w:val="0"/>
              <w:jc w:val="center"/>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59" w:type="pct"/>
            <w:vMerge w:val="continue"/>
            <w:tcBorders>
              <w:tl2br w:val="nil"/>
              <w:tr2bl w:val="nil"/>
            </w:tcBorders>
            <w:vAlign w:val="center"/>
          </w:tcPr>
          <w:p>
            <w:pPr>
              <w:rPr>
                <w:rFonts w:ascii="Times New Roman" w:hAnsi="Times New Roman"/>
                <w:color w:val="auto"/>
                <w:szCs w:val="21"/>
              </w:rPr>
            </w:pPr>
          </w:p>
        </w:tc>
        <w:tc>
          <w:tcPr>
            <w:tcW w:w="4340" w:type="pct"/>
            <w:gridSpan w:val="6"/>
            <w:tcBorders>
              <w:tl2br w:val="nil"/>
              <w:tr2bl w:val="nil"/>
            </w:tcBorders>
            <w:vAlign w:val="center"/>
          </w:tcPr>
          <w:p>
            <w:pPr>
              <w:autoSpaceDN w:val="0"/>
              <w:ind w:right="1260" w:rightChars="6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 xml:space="preserve">   申请人：</w:t>
            </w:r>
          </w:p>
          <w:p>
            <w:pPr>
              <w:autoSpaceDN w:val="0"/>
              <w:ind w:right="1260" w:rightChars="60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rPr>
              <w:t xml:space="preserve">                                             </w:t>
            </w:r>
            <w:r>
              <w:rPr>
                <w:rFonts w:ascii="Times New Roman" w:hAnsi="Times New Roman" w:eastAsia="仿宋_GB2312" w:cs="Times New Roman"/>
                <w:color w:val="auto"/>
                <w:szCs w:val="21"/>
                <w:lang w:eastAsia="zh-Hans"/>
              </w:rPr>
              <w:t>（指印）</w:t>
            </w:r>
          </w:p>
          <w:p>
            <w:pPr>
              <w:autoSpaceDN w:val="0"/>
              <w:ind w:right="1050" w:rightChars="5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59"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就医地</w:t>
            </w:r>
          </w:p>
        </w:tc>
        <w:tc>
          <w:tcPr>
            <w:tcW w:w="4340" w:type="pct"/>
            <w:gridSpan w:val="6"/>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rPr>
              <w:t>省（自治区、直辖市）</w:t>
            </w:r>
            <w:r>
              <w:rPr>
                <w:rFonts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659"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参保地</w:t>
            </w:r>
          </w:p>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经办机构意见</w:t>
            </w:r>
          </w:p>
        </w:tc>
        <w:tc>
          <w:tcPr>
            <w:tcW w:w="4340" w:type="pct"/>
            <w:gridSpan w:val="6"/>
            <w:tcBorders>
              <w:tl2br w:val="nil"/>
              <w:tr2bl w:val="nil"/>
            </w:tcBorders>
            <w:vAlign w:val="center"/>
          </w:tcPr>
          <w:p>
            <w:pPr>
              <w:autoSpaceDN w:val="0"/>
              <w:jc w:val="center"/>
              <w:textAlignment w:val="center"/>
              <w:rPr>
                <w:rFonts w:ascii="Times New Roman" w:hAnsi="Times New Roman" w:eastAsia="仿宋_GB2312"/>
                <w:color w:val="auto"/>
                <w:szCs w:val="21"/>
              </w:rPr>
            </w:pPr>
          </w:p>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同意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不同意</w:t>
            </w:r>
            <w:r>
              <w:rPr>
                <w:rFonts w:ascii="Times New Roman" w:hAnsi="Times New Roman" w:eastAsia="仿宋_GB2312" w:cs="Times New Roman"/>
                <w:color w:val="auto"/>
                <w:szCs w:val="21"/>
                <w:u w:val="single"/>
                <w:lang w:eastAsia="zh-Hans"/>
              </w:rPr>
              <w:t xml:space="preserve">         </w:t>
            </w:r>
            <w:r>
              <w:rPr>
                <w:rFonts w:hint="eastAsia"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lang w:eastAsia="zh-Hans"/>
              </w:rPr>
              <w:t>（理由）</w:t>
            </w:r>
          </w:p>
          <w:p>
            <w:pPr>
              <w:autoSpaceDN w:val="0"/>
              <w:ind w:right="1260" w:rightChars="600"/>
              <w:jc w:val="left"/>
              <w:textAlignment w:val="center"/>
              <w:rPr>
                <w:rFonts w:hint="eastAsia" w:ascii="Times New Roman" w:hAnsi="Times New Roman" w:eastAsia="仿宋_GB2312"/>
                <w:color w:val="auto"/>
                <w:szCs w:val="21"/>
              </w:rPr>
            </w:pPr>
            <w:r>
              <w:rPr>
                <w:rFonts w:hint="eastAsia" w:ascii="Times New Roman" w:hAnsi="Times New Roman" w:eastAsia="仿宋_GB2312"/>
                <w:color w:val="auto"/>
                <w:szCs w:val="21"/>
              </w:rPr>
              <w:t>备案有效期：___年___月___日至___年___月___日</w:t>
            </w:r>
          </w:p>
          <w:p>
            <w:pPr>
              <w:jc w:val="left"/>
              <w:rPr>
                <w:rFonts w:ascii="Times New Roman" w:hAnsi="Times New Roman" w:eastAsia="仿宋_GB2312"/>
                <w:color w:val="auto"/>
                <w:szCs w:val="21"/>
              </w:rPr>
            </w:pPr>
          </w:p>
          <w:p>
            <w:pPr>
              <w:jc w:val="left"/>
              <w:rPr>
                <w:rFonts w:ascii="Times New Roman" w:hAnsi="Times New Roman" w:eastAsia="仿宋_GB2312"/>
                <w:color w:val="auto"/>
                <w:szCs w:val="21"/>
              </w:rPr>
            </w:pPr>
          </w:p>
          <w:p>
            <w:pPr>
              <w:autoSpaceDN w:val="0"/>
              <w:ind w:right="1260" w:rightChars="600"/>
              <w:jc w:val="right"/>
              <w:textAlignment w:val="center"/>
              <w:rPr>
                <w:rFonts w:ascii="Times New Roman" w:hAnsi="Times New Roman" w:eastAsia="仿宋_GB2312"/>
                <w:color w:val="auto"/>
                <w:szCs w:val="21"/>
                <w:lang w:eastAsia="zh-Hans"/>
              </w:rPr>
            </w:pPr>
          </w:p>
          <w:p>
            <w:pPr>
              <w:autoSpaceDN w:val="0"/>
              <w:ind w:right="840" w:rightChars="4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（经办机构</w:t>
            </w:r>
            <w:r>
              <w:rPr>
                <w:rFonts w:hint="eastAsia" w:ascii="Times New Roman" w:hAnsi="Times New Roman" w:eastAsia="仿宋_GB2312" w:cs="Times New Roman"/>
                <w:color w:val="auto"/>
                <w:szCs w:val="21"/>
              </w:rPr>
              <w:t>盖</w:t>
            </w:r>
            <w:r>
              <w:rPr>
                <w:rFonts w:ascii="Times New Roman" w:hAnsi="Times New Roman" w:eastAsia="仿宋_GB2312" w:cs="Times New Roman"/>
                <w:color w:val="auto"/>
                <w:szCs w:val="21"/>
                <w:lang w:eastAsia="zh-Hans"/>
              </w:rPr>
              <w:t>章）</w:t>
            </w:r>
          </w:p>
          <w:p>
            <w:pPr>
              <w:jc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 xml:space="preserve">        经办人：                      年  月  日</w:t>
            </w:r>
          </w:p>
        </w:tc>
      </w:tr>
    </w:tbl>
    <w:p>
      <w:pPr>
        <w:autoSpaceDN w:val="0"/>
        <w:snapToGrid w:val="0"/>
        <w:ind w:right="1050" w:rightChars="5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编号：</w:t>
      </w:r>
    </w:p>
    <w:p>
      <w:pPr>
        <w:keepNext w:val="0"/>
        <w:keepLines w:val="0"/>
        <w:pageBreakBefore w:val="0"/>
        <w:widowControl w:val="0"/>
        <w:kinsoku/>
        <w:wordWrap/>
        <w:overflowPunct/>
        <w:topLinePunct w:val="0"/>
        <w:autoSpaceDE/>
        <w:autoSpaceDN/>
        <w:bidi w:val="0"/>
        <w:adjustRightInd/>
        <w:snapToGrid/>
        <w:spacing w:line="260" w:lineRule="exact"/>
        <w:ind w:left="11" w:hanging="11"/>
        <w:jc w:val="left"/>
        <w:textAlignment w:val="auto"/>
        <w:rPr>
          <w:rFonts w:ascii="Times New Roman" w:hAnsi="Times New Roman" w:eastAsia="楷体"/>
          <w:color w:val="auto"/>
        </w:rPr>
      </w:pPr>
      <w:r>
        <w:rPr>
          <w:rFonts w:ascii="Times New Roman" w:hAnsi="Times New Roman" w:eastAsia="楷体" w:cs="Times New Roman"/>
          <w:color w:val="auto"/>
        </w:rPr>
        <w:t>备注：</w:t>
      </w:r>
      <w:r>
        <w:rPr>
          <w:rFonts w:ascii="Times New Roman" w:hAnsi="Times New Roman" w:eastAsia="Times New Roman" w:cs="Times New Roman"/>
          <w:color w:val="auto"/>
        </w:rPr>
        <w:t>1.</w:t>
      </w:r>
      <w:r>
        <w:rPr>
          <w:rFonts w:ascii="Times New Roman" w:hAnsi="Times New Roman" w:eastAsia="楷体" w:cs="Times New Roman"/>
          <w:color w:val="auto"/>
        </w:rPr>
        <w:t>本表一式二份，经办机构留存一份，</w:t>
      </w:r>
      <w:r>
        <w:rPr>
          <w:rFonts w:ascii="Times New Roman" w:hAnsi="Times New Roman" w:eastAsia="楷体" w:cs="Times New Roman"/>
          <w:color w:val="auto"/>
          <w:lang w:eastAsia="zh-Hans"/>
        </w:rPr>
        <w:t>申请人</w:t>
      </w:r>
      <w:r>
        <w:rPr>
          <w:rFonts w:ascii="Times New Roman" w:hAnsi="Times New Roman" w:eastAsia="楷体" w:cs="Times New Roman"/>
          <w:color w:val="auto"/>
        </w:rPr>
        <w:t>留存一份；</w:t>
      </w:r>
    </w:p>
    <w:p>
      <w:pPr>
        <w:keepNext w:val="0"/>
        <w:keepLines w:val="0"/>
        <w:pageBreakBefore w:val="0"/>
        <w:widowControl w:val="0"/>
        <w:kinsoku/>
        <w:wordWrap/>
        <w:overflowPunct/>
        <w:topLinePunct w:val="0"/>
        <w:autoSpaceDE/>
        <w:autoSpaceDN/>
        <w:bidi w:val="0"/>
        <w:adjustRightInd/>
        <w:snapToGrid/>
        <w:spacing w:line="260" w:lineRule="exact"/>
        <w:ind w:left="631" w:firstLine="9"/>
        <w:jc w:val="left"/>
        <w:textAlignment w:val="auto"/>
        <w:rPr>
          <w:rFonts w:ascii="Times New Roman" w:hAnsi="Times New Roman" w:eastAsia="楷体"/>
          <w:color w:val="auto"/>
        </w:rPr>
      </w:pPr>
      <w:r>
        <w:rPr>
          <w:rFonts w:ascii="Times New Roman" w:hAnsi="Times New Roman" w:eastAsia="Times New Roman" w:cs="Times New Roman"/>
          <w:color w:val="auto"/>
        </w:rPr>
        <w:t>2.</w:t>
      </w:r>
      <w:r>
        <w:rPr>
          <w:rFonts w:ascii="Times New Roman" w:hAnsi="Times New Roman" w:eastAsia="楷体" w:cs="Times New Roman"/>
          <w:color w:val="auto"/>
        </w:rPr>
        <w:t>本表供工伤职工</w:t>
      </w:r>
      <w:r>
        <w:rPr>
          <w:rFonts w:ascii="Times New Roman" w:hAnsi="Times New Roman" w:eastAsia="楷体" w:cs="Times New Roman"/>
          <w:color w:val="auto"/>
          <w:lang w:eastAsia="zh-Hans"/>
        </w:rPr>
        <w:t>及其近亲属</w:t>
      </w:r>
      <w:r>
        <w:rPr>
          <w:rFonts w:ascii="Times New Roman" w:hAnsi="Times New Roman" w:eastAsia="楷体" w:cs="Times New Roman"/>
          <w:color w:val="auto"/>
        </w:rPr>
        <w:t>申请备案使用，工伤职工近亲属申请的，另须提供其有效身份证件和与工伤职工</w:t>
      </w:r>
      <w:r>
        <w:rPr>
          <w:rFonts w:ascii="Times New Roman" w:hAnsi="Times New Roman" w:eastAsia="楷体" w:cs="Times New Roman"/>
          <w:color w:val="auto"/>
          <w:lang w:eastAsia="zh-Hans"/>
        </w:rPr>
        <w:t>的</w:t>
      </w:r>
      <w:r>
        <w:rPr>
          <w:rFonts w:ascii="Times New Roman" w:hAnsi="Times New Roman" w:eastAsia="楷体" w:cs="Times New Roman"/>
          <w:color w:val="auto"/>
        </w:rPr>
        <w:t>关系佐证材料</w:t>
      </w:r>
      <w:r>
        <w:rPr>
          <w:rFonts w:hint="eastAsia" w:ascii="Times New Roman" w:hAnsi="Times New Roman" w:eastAsia="楷体" w:cs="Times New Roman"/>
          <w:color w:val="auto"/>
        </w:rPr>
        <w:t>，工伤职工委托他人申请的，另须提供授权委托书；</w:t>
      </w:r>
    </w:p>
    <w:p>
      <w:pPr>
        <w:keepNext w:val="0"/>
        <w:keepLines w:val="0"/>
        <w:pageBreakBefore w:val="0"/>
        <w:widowControl w:val="0"/>
        <w:kinsoku/>
        <w:wordWrap/>
        <w:overflowPunct/>
        <w:topLinePunct w:val="0"/>
        <w:autoSpaceDE/>
        <w:autoSpaceDN/>
        <w:bidi w:val="0"/>
        <w:adjustRightInd/>
        <w:snapToGrid/>
        <w:spacing w:line="260" w:lineRule="exact"/>
        <w:ind w:left="631" w:firstLine="9"/>
        <w:jc w:val="left"/>
        <w:textAlignment w:val="auto"/>
        <w:rPr>
          <w:rFonts w:ascii="Times New Roman" w:hAnsi="Times New Roman" w:eastAsia="楷体"/>
          <w:color w:val="auto"/>
        </w:rPr>
      </w:pPr>
      <w:r>
        <w:rPr>
          <w:rFonts w:ascii="Times New Roman" w:hAnsi="Times New Roman" w:eastAsia="楷体" w:cs="Times New Roman"/>
          <w:color w:val="auto"/>
        </w:rPr>
        <w:t>3.转诊转院工伤职工另须提供参保地</w:t>
      </w:r>
      <w:r>
        <w:rPr>
          <w:rFonts w:hint="eastAsia" w:ascii="Times New Roman" w:hAnsi="Times New Roman" w:eastAsia="楷体" w:cs="Times New Roman"/>
          <w:color w:val="auto"/>
        </w:rPr>
        <w:t>规定的</w:t>
      </w:r>
      <w:r>
        <w:rPr>
          <w:rFonts w:ascii="Times New Roman" w:hAnsi="Times New Roman" w:eastAsia="楷体" w:cs="Times New Roman"/>
          <w:color w:val="auto"/>
        </w:rPr>
        <w:t>协议机构转诊转院意见</w:t>
      </w:r>
      <w:r>
        <w:rPr>
          <w:rFonts w:hint="eastAsia" w:ascii="Times New Roman" w:hAnsi="Times New Roman" w:eastAsia="楷体" w:cs="Times New Roman"/>
          <w:color w:val="auto"/>
        </w:rPr>
        <w:t>。</w:t>
      </w:r>
    </w:p>
    <w:p>
      <w:pPr>
        <w:keepNext w:val="0"/>
        <w:keepLines w:val="0"/>
        <w:pageBreakBefore w:val="0"/>
        <w:widowControl w:val="0"/>
        <w:kinsoku/>
        <w:wordWrap/>
        <w:overflowPunct/>
        <w:topLinePunct w:val="0"/>
        <w:autoSpaceDE/>
        <w:autoSpaceDN/>
        <w:bidi w:val="0"/>
        <w:adjustRightInd/>
        <w:snapToGrid/>
        <w:spacing w:line="260" w:lineRule="exact"/>
        <w:ind w:left="631" w:firstLine="9"/>
        <w:jc w:val="left"/>
        <w:textAlignment w:val="auto"/>
        <w:rPr>
          <w:rFonts w:hint="eastAsia" w:ascii="Times New Roman" w:hAnsi="Times New Roman" w:eastAsia="楷体"/>
          <w:color w:val="auto"/>
        </w:rPr>
      </w:pPr>
      <w:r>
        <w:rPr>
          <w:rFonts w:ascii="Times New Roman" w:hAnsi="Times New Roman" w:eastAsia="楷体"/>
          <w:color w:val="auto"/>
        </w:rPr>
        <w:t>4.</w:t>
      </w:r>
      <w:r>
        <w:rPr>
          <w:rFonts w:hint="eastAsia" w:ascii="Times New Roman" w:hAnsi="Times New Roman" w:eastAsia="楷体"/>
          <w:color w:val="auto"/>
        </w:rPr>
        <w:t>省外</w:t>
      </w:r>
      <w:r>
        <w:rPr>
          <w:rFonts w:ascii="Times New Roman" w:hAnsi="Times New Roman" w:eastAsia="楷体"/>
          <w:color w:val="auto"/>
        </w:rPr>
        <w:t>长期居住工伤职工，居住地为户籍所在地的另须提供户籍相关材料、居住地为非户籍所在地的须提供</w:t>
      </w:r>
      <w:r>
        <w:rPr>
          <w:rFonts w:hint="eastAsia" w:ascii="Times New Roman" w:hAnsi="Times New Roman" w:eastAsia="楷体"/>
          <w:color w:val="auto"/>
        </w:rPr>
        <w:t>居住证、村（居）委会证明等</w:t>
      </w:r>
      <w:r>
        <w:rPr>
          <w:rFonts w:ascii="Times New Roman" w:hAnsi="Times New Roman" w:eastAsia="楷体"/>
          <w:color w:val="auto"/>
        </w:rPr>
        <w:t>长期居住佐证材料</w:t>
      </w:r>
      <w:r>
        <w:rPr>
          <w:rFonts w:hint="eastAsia" w:ascii="Times New Roman" w:hAnsi="Times New Roman" w:eastAsia="楷体"/>
          <w:color w:val="auto"/>
        </w:rPr>
        <w:t>；</w:t>
      </w:r>
    </w:p>
    <w:p>
      <w:pPr>
        <w:keepNext w:val="0"/>
        <w:keepLines w:val="0"/>
        <w:pageBreakBefore w:val="0"/>
        <w:widowControl w:val="0"/>
        <w:kinsoku/>
        <w:wordWrap/>
        <w:overflowPunct/>
        <w:topLinePunct w:val="0"/>
        <w:autoSpaceDE/>
        <w:autoSpaceDN/>
        <w:bidi w:val="0"/>
        <w:adjustRightInd/>
        <w:snapToGrid/>
        <w:spacing w:line="260" w:lineRule="exact"/>
        <w:ind w:left="631" w:firstLine="9"/>
        <w:jc w:val="left"/>
        <w:textAlignment w:val="auto"/>
        <w:rPr>
          <w:rFonts w:ascii="Times New Roman Regular" w:hAnsi="Times New Roman Regular" w:eastAsia="楷体" w:cs="Times New Roman Regular"/>
          <w:color w:val="auto"/>
        </w:rPr>
      </w:pPr>
      <w:r>
        <w:rPr>
          <w:rFonts w:ascii="Times New Roman" w:hAnsi="Times New Roman" w:eastAsia="楷体"/>
          <w:color w:val="auto"/>
        </w:rPr>
        <w:t>5.常驻</w:t>
      </w:r>
      <w:r>
        <w:rPr>
          <w:rFonts w:hint="eastAsia" w:ascii="Times New Roman" w:hAnsi="Times New Roman" w:eastAsia="楷体"/>
          <w:color w:val="auto"/>
        </w:rPr>
        <w:t>省外</w:t>
      </w:r>
      <w:r>
        <w:rPr>
          <w:rFonts w:ascii="Times New Roman" w:hAnsi="Times New Roman" w:eastAsia="楷体"/>
          <w:color w:val="auto"/>
        </w:rPr>
        <w:t>工作工伤职工，另须提供常驻异地工作的佐证材料（参保地工作单位派出证明、异地工作单位证明、劳动合同等）。</w:t>
      </w:r>
    </w:p>
    <w:p>
      <w:pPr>
        <w:rPr>
          <w:rFonts w:hint="eastAsia" w:ascii="黑体" w:hAnsi="黑体" w:eastAsia="黑体" w:cs="黑体"/>
          <w:color w:val="auto"/>
          <w:sz w:val="32"/>
          <w:szCs w:val="32"/>
        </w:rPr>
      </w:pPr>
      <w:bookmarkStart w:id="30" w:name="_Toc1955500990_WPSOffice_Level1"/>
      <w:bookmarkStart w:id="31" w:name="_Toc1208226702_WPSOffice_Level1"/>
      <w:bookmarkStart w:id="32" w:name="_Toc130386738_WPSOffice_Level1"/>
      <w:r>
        <w:rPr>
          <w:rFonts w:hint="eastAsia" w:ascii="黑体" w:hAnsi="黑体" w:eastAsia="黑体" w:cs="黑体"/>
          <w:color w:val="auto"/>
          <w:sz w:val="32"/>
          <w:szCs w:val="32"/>
        </w:rPr>
        <w:br w:type="page"/>
      </w:r>
    </w:p>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bookmarkEnd w:id="30"/>
    </w:p>
    <w:p>
      <w:pPr>
        <w:keepNext/>
        <w:keepLines/>
        <w:pageBreakBefore w:val="0"/>
        <w:widowControl/>
        <w:kinsoku/>
        <w:wordWrap/>
        <w:overflowPunct/>
        <w:topLinePunct w:val="0"/>
        <w:autoSpaceDE/>
        <w:autoSpaceDN/>
        <w:bidi w:val="0"/>
        <w:adjustRightInd/>
        <w:snapToGrid/>
        <w:spacing w:line="560" w:lineRule="exact"/>
        <w:ind w:left="13" w:right="151" w:hanging="1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山东省工伤保险异地配置辅助器具</w:t>
      </w:r>
    </w:p>
    <w:p>
      <w:pPr>
        <w:keepNext/>
        <w:keepLines/>
        <w:pageBreakBefore w:val="0"/>
        <w:widowControl/>
        <w:kinsoku/>
        <w:wordWrap/>
        <w:overflowPunct/>
        <w:topLinePunct w:val="0"/>
        <w:autoSpaceDE/>
        <w:autoSpaceDN/>
        <w:bidi w:val="0"/>
        <w:adjustRightInd/>
        <w:snapToGrid/>
        <w:spacing w:line="560" w:lineRule="exact"/>
        <w:ind w:left="13" w:right="151" w:hanging="10"/>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直接结算备案表</w:t>
      </w:r>
      <w:bookmarkEnd w:id="31"/>
      <w:bookmarkEnd w:id="32"/>
    </w:p>
    <w:p>
      <w:pPr>
        <w:autoSpaceDN w:val="0"/>
        <w:ind w:right="1050" w:rightChars="5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编号：</w:t>
      </w:r>
    </w:p>
    <w:tbl>
      <w:tblPr>
        <w:tblStyle w:val="1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203"/>
        <w:gridCol w:w="1955"/>
        <w:gridCol w:w="14"/>
        <w:gridCol w:w="62"/>
        <w:gridCol w:w="1878"/>
        <w:gridCol w:w="31"/>
        <w:gridCol w:w="245"/>
        <w:gridCol w:w="9"/>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6"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rPr>
            </w:pPr>
          </w:p>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工伤职工</w:t>
            </w:r>
            <w:r>
              <w:rPr>
                <w:rFonts w:ascii="Times New Roman" w:hAnsi="Times New Roman" w:eastAsia="仿宋_GB2312" w:cs="Times New Roman"/>
                <w:color w:val="auto"/>
                <w:szCs w:val="21"/>
              </w:rPr>
              <w:t>基本信息</w:t>
            </w:r>
          </w:p>
          <w:p>
            <w:pPr>
              <w:autoSpaceDN w:val="0"/>
              <w:jc w:val="center"/>
              <w:textAlignment w:val="center"/>
              <w:rPr>
                <w:rFonts w:ascii="Times New Roman" w:hAnsi="Times New Roman" w:eastAsia="仿宋_GB2312"/>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姓名</w:t>
            </w:r>
          </w:p>
        </w:tc>
        <w:tc>
          <w:tcPr>
            <w:tcW w:w="1121" w:type="pct"/>
            <w:gridSpan w:val="3"/>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性别</w:t>
            </w:r>
          </w:p>
        </w:tc>
        <w:tc>
          <w:tcPr>
            <w:tcW w:w="850" w:type="pct"/>
            <w:tcBorders>
              <w:tl2br w:val="nil"/>
              <w:tr2bl w:val="nil"/>
            </w:tcBorders>
            <w:vAlign w:val="bottom"/>
          </w:tcPr>
          <w:p>
            <w:pPr>
              <w:autoSpaceDN w:val="0"/>
              <w:jc w:val="center"/>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hint="eastAsia" w:ascii="Times New Roman" w:hAnsi="Times New Roman" w:eastAsia="仿宋_GB2312" w:cs="Times New Roman"/>
                <w:color w:val="auto"/>
                <w:szCs w:val="21"/>
              </w:rPr>
              <w:t>公民身份号码</w:t>
            </w:r>
          </w:p>
        </w:tc>
        <w:tc>
          <w:tcPr>
            <w:tcW w:w="1121" w:type="pct"/>
            <w:gridSpan w:val="3"/>
            <w:tcBorders>
              <w:tl2br w:val="nil"/>
              <w:tr2bl w:val="nil"/>
            </w:tcBorders>
            <w:vAlign w:val="center"/>
          </w:tcPr>
          <w:p>
            <w:pPr>
              <w:autoSpaceDN w:val="0"/>
              <w:jc w:val="left"/>
              <w:textAlignment w:val="bottom"/>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bottom"/>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受伤部位</w:t>
            </w:r>
          </w:p>
        </w:tc>
        <w:tc>
          <w:tcPr>
            <w:tcW w:w="850" w:type="pct"/>
            <w:tcBorders>
              <w:tl2br w:val="nil"/>
              <w:tr2bl w:val="nil"/>
            </w:tcBorders>
            <w:vAlign w:val="center"/>
          </w:tcPr>
          <w:p>
            <w:pPr>
              <w:autoSpaceDN w:val="0"/>
              <w:jc w:val="left"/>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pacing w:val="-10"/>
                <w:szCs w:val="21"/>
                <w:lang w:eastAsia="zh-Hans"/>
              </w:rPr>
            </w:pPr>
            <w:r>
              <w:rPr>
                <w:rFonts w:ascii="Times New Roman" w:hAnsi="Times New Roman" w:eastAsia="仿宋_GB2312" w:cs="Times New Roman"/>
                <w:color w:val="auto"/>
                <w:spacing w:val="-10"/>
                <w:szCs w:val="21"/>
                <w:lang w:eastAsia="zh-Hans"/>
              </w:rPr>
              <w:t>认定工伤决定书</w:t>
            </w:r>
          </w:p>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pacing w:val="-10"/>
                <w:szCs w:val="21"/>
                <w:lang w:eastAsia="zh-Hans"/>
              </w:rPr>
              <w:t>文（编）号</w:t>
            </w:r>
          </w:p>
        </w:tc>
        <w:tc>
          <w:tcPr>
            <w:tcW w:w="1121" w:type="pct"/>
            <w:gridSpan w:val="3"/>
            <w:tcBorders>
              <w:tl2br w:val="nil"/>
              <w:tr2bl w:val="nil"/>
            </w:tcBorders>
            <w:vAlign w:val="center"/>
          </w:tcPr>
          <w:p>
            <w:pPr>
              <w:autoSpaceDN w:val="0"/>
              <w:jc w:val="center"/>
              <w:textAlignment w:val="center"/>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辅助器具配置结论书文（编）号</w:t>
            </w:r>
          </w:p>
        </w:tc>
        <w:tc>
          <w:tcPr>
            <w:tcW w:w="850" w:type="pct"/>
            <w:tcBorders>
              <w:tl2br w:val="nil"/>
              <w:tr2bl w:val="nil"/>
            </w:tcBorders>
            <w:vAlign w:val="bottom"/>
          </w:tcPr>
          <w:p>
            <w:pPr>
              <w:autoSpaceDN w:val="0"/>
              <w:jc w:val="left"/>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配置费用核付通知单文（编）号</w:t>
            </w:r>
          </w:p>
        </w:tc>
        <w:tc>
          <w:tcPr>
            <w:tcW w:w="1121" w:type="pct"/>
            <w:gridSpan w:val="3"/>
            <w:tcBorders>
              <w:tl2br w:val="nil"/>
              <w:tr2bl w:val="nil"/>
            </w:tcBorders>
            <w:vAlign w:val="center"/>
          </w:tcPr>
          <w:p>
            <w:pPr>
              <w:autoSpaceDN w:val="0"/>
              <w:jc w:val="center"/>
              <w:textAlignment w:val="bottom"/>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bottom"/>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联系电话</w:t>
            </w:r>
          </w:p>
        </w:tc>
        <w:tc>
          <w:tcPr>
            <w:tcW w:w="850" w:type="pct"/>
            <w:tcBorders>
              <w:tl2br w:val="nil"/>
              <w:tr2bl w:val="nil"/>
            </w:tcBorders>
            <w:vAlign w:val="center"/>
          </w:tcPr>
          <w:p>
            <w:pPr>
              <w:autoSpaceDN w:val="0"/>
              <w:jc w:val="center"/>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联系地址</w:t>
            </w:r>
          </w:p>
        </w:tc>
        <w:tc>
          <w:tcPr>
            <w:tcW w:w="3166" w:type="pct"/>
            <w:gridSpan w:val="8"/>
            <w:tcBorders>
              <w:tl2br w:val="nil"/>
              <w:tr2bl w:val="nil"/>
            </w:tcBorders>
            <w:vAlign w:val="center"/>
          </w:tcPr>
          <w:p>
            <w:pPr>
              <w:autoSpaceDN w:val="0"/>
              <w:jc w:val="center"/>
              <w:textAlignment w:val="bottom"/>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备案信息</w:t>
            </w:r>
          </w:p>
        </w:tc>
        <w:tc>
          <w:tcPr>
            <w:tcW w:w="1216" w:type="pct"/>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备案类别</w:t>
            </w:r>
          </w:p>
        </w:tc>
        <w:tc>
          <w:tcPr>
            <w:tcW w:w="1087" w:type="pct"/>
            <w:gridSpan w:val="2"/>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新增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变更</w:t>
            </w:r>
          </w:p>
        </w:tc>
        <w:tc>
          <w:tcPr>
            <w:tcW w:w="1088" w:type="pct"/>
            <w:gridSpan w:val="3"/>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hint="eastAsia" w:ascii="Times New Roman" w:hAnsi="Times New Roman" w:eastAsia="仿宋_GB2312"/>
                <w:color w:val="auto"/>
                <w:szCs w:val="21"/>
              </w:rPr>
              <w:t>备案区域</w:t>
            </w:r>
          </w:p>
        </w:tc>
        <w:tc>
          <w:tcPr>
            <w:tcW w:w="990" w:type="pct"/>
            <w:gridSpan w:val="3"/>
            <w:tcBorders>
              <w:tl2br w:val="nil"/>
              <w:tr2bl w:val="nil"/>
            </w:tcBorders>
            <w:vAlign w:val="center"/>
          </w:tcPr>
          <w:p>
            <w:pPr>
              <w:autoSpaceDN w:val="0"/>
              <w:jc w:val="center"/>
              <w:textAlignment w:val="bottom"/>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Hans"/>
              </w:rPr>
              <w:t>省内</w:t>
            </w:r>
            <w:r>
              <w:rPr>
                <w:rFonts w:ascii="Times New Roman" w:hAnsi="Times New Roman" w:eastAsia="仿宋_GB2312" w:cs="Times New Roman"/>
                <w:color w:val="auto"/>
                <w:szCs w:val="21"/>
                <w:lang w:eastAsia="zh-Hans"/>
              </w:rPr>
              <w:t xml:space="preserve"> </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Hans"/>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216" w:type="pct"/>
            <w:tcBorders>
              <w:tl2br w:val="nil"/>
              <w:tr2bl w:val="nil"/>
            </w:tcBorders>
            <w:vAlign w:val="center"/>
          </w:tcPr>
          <w:p>
            <w:pPr>
              <w:autoSpaceDN w:val="0"/>
              <w:jc w:val="center"/>
              <w:textAlignment w:val="bottom"/>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人员类别</w:t>
            </w:r>
          </w:p>
        </w:tc>
        <w:tc>
          <w:tcPr>
            <w:tcW w:w="3166" w:type="pct"/>
            <w:gridSpan w:val="8"/>
            <w:tcBorders>
              <w:tl2br w:val="nil"/>
              <w:tr2bl w:val="nil"/>
            </w:tcBorders>
            <w:vAlign w:val="center"/>
          </w:tcPr>
          <w:p>
            <w:pPr>
              <w:autoSpaceDN w:val="0"/>
              <w:textAlignment w:val="bottom"/>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 xml:space="preserve">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异地长期居住人员</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常驻异地工作人员</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转诊转院人员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6"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申请人</w:t>
            </w:r>
          </w:p>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基本</w:t>
            </w:r>
            <w:r>
              <w:rPr>
                <w:rFonts w:ascii="Times New Roman" w:hAnsi="Times New Roman" w:eastAsia="仿宋_GB2312" w:cs="Times New Roman"/>
                <w:color w:val="auto"/>
                <w:szCs w:val="21"/>
              </w:rPr>
              <w:t>信息</w:t>
            </w:r>
          </w:p>
        </w:tc>
        <w:tc>
          <w:tcPr>
            <w:tcW w:w="4383" w:type="pct"/>
            <w:gridSpan w:val="9"/>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本人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工伤职工近亲属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continue"/>
            <w:tcBorders>
              <w:tl2br w:val="nil"/>
              <w:tr2bl w:val="nil"/>
            </w:tcBorders>
            <w:vAlign w:val="center"/>
          </w:tcPr>
          <w:p>
            <w:pPr>
              <w:rPr>
                <w:rFonts w:ascii="Times New Roman" w:hAnsi="Times New Roman"/>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近亲属姓名</w:t>
            </w:r>
          </w:p>
        </w:tc>
        <w:tc>
          <w:tcPr>
            <w:tcW w:w="1121" w:type="pct"/>
            <w:gridSpan w:val="3"/>
            <w:tcBorders>
              <w:tl2br w:val="nil"/>
              <w:tr2bl w:val="nil"/>
            </w:tcBorders>
            <w:vAlign w:val="bottom"/>
          </w:tcPr>
          <w:p>
            <w:pPr>
              <w:autoSpaceDN w:val="0"/>
              <w:jc w:val="center"/>
              <w:textAlignment w:val="center"/>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近亲属</w:t>
            </w:r>
            <w:r>
              <w:rPr>
                <w:rFonts w:hint="eastAsia" w:ascii="Times New Roman" w:hAnsi="Times New Roman" w:eastAsia="仿宋_GB2312" w:cs="Times New Roman"/>
                <w:color w:val="auto"/>
                <w:szCs w:val="21"/>
              </w:rPr>
              <w:t>公民身份号码</w:t>
            </w:r>
          </w:p>
        </w:tc>
        <w:tc>
          <w:tcPr>
            <w:tcW w:w="850" w:type="pct"/>
            <w:tcBorders>
              <w:tl2br w:val="nil"/>
              <w:tr2bl w:val="nil"/>
            </w:tcBorders>
            <w:vAlign w:val="bottom"/>
          </w:tcPr>
          <w:p>
            <w:pPr>
              <w:autoSpaceDN w:val="0"/>
              <w:jc w:val="center"/>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continue"/>
            <w:tcBorders>
              <w:tl2br w:val="nil"/>
              <w:tr2bl w:val="nil"/>
            </w:tcBorders>
            <w:vAlign w:val="center"/>
          </w:tcPr>
          <w:p>
            <w:pPr>
              <w:rPr>
                <w:rFonts w:ascii="Times New Roman" w:hAnsi="Times New Roman"/>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近亲属联系方式</w:t>
            </w:r>
          </w:p>
        </w:tc>
        <w:tc>
          <w:tcPr>
            <w:tcW w:w="3166" w:type="pct"/>
            <w:gridSpan w:val="8"/>
            <w:tcBorders>
              <w:tl2br w:val="nil"/>
              <w:tr2bl w:val="nil"/>
            </w:tcBorders>
            <w:vAlign w:val="center"/>
          </w:tcPr>
          <w:p>
            <w:pPr>
              <w:autoSpaceDN w:val="0"/>
              <w:jc w:val="left"/>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6" w:type="pct"/>
            <w:vMerge w:val="continue"/>
            <w:tcBorders>
              <w:tl2br w:val="nil"/>
              <w:tr2bl w:val="nil"/>
            </w:tcBorders>
            <w:vAlign w:val="center"/>
          </w:tcPr>
          <w:p>
            <w:pPr>
              <w:rPr>
                <w:rFonts w:ascii="Times New Roman" w:hAnsi="Times New Roman"/>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用人单位</w:t>
            </w:r>
            <w:r>
              <w:rPr>
                <w:rFonts w:ascii="Times New Roman" w:hAnsi="Times New Roman" w:eastAsia="仿宋_GB2312" w:cs="Times New Roman"/>
                <w:color w:val="auto"/>
                <w:szCs w:val="21"/>
              </w:rPr>
              <w:t>名称</w:t>
            </w:r>
          </w:p>
        </w:tc>
        <w:tc>
          <w:tcPr>
            <w:tcW w:w="1121" w:type="pct"/>
            <w:gridSpan w:val="3"/>
            <w:tcBorders>
              <w:tl2br w:val="nil"/>
              <w:tr2bl w:val="nil"/>
            </w:tcBorders>
            <w:vAlign w:val="center"/>
          </w:tcPr>
          <w:p>
            <w:pPr>
              <w:autoSpaceDN w:val="0"/>
              <w:jc w:val="left"/>
              <w:textAlignment w:val="center"/>
              <w:rPr>
                <w:rFonts w:ascii="Times New Roman" w:hAnsi="Times New Roman" w:eastAsia="仿宋_GB2312"/>
                <w:color w:val="auto"/>
                <w:szCs w:val="21"/>
              </w:rPr>
            </w:pPr>
          </w:p>
        </w:tc>
        <w:tc>
          <w:tcPr>
            <w:tcW w:w="1194" w:type="pct"/>
            <w:gridSpan w:val="4"/>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用人单位社会统一信用代码</w:t>
            </w:r>
          </w:p>
        </w:tc>
        <w:tc>
          <w:tcPr>
            <w:tcW w:w="850" w:type="pct"/>
            <w:tcBorders>
              <w:tl2br w:val="nil"/>
              <w:tr2bl w:val="nil"/>
            </w:tcBorders>
            <w:vAlign w:val="center"/>
          </w:tcPr>
          <w:p>
            <w:pPr>
              <w:autoSpaceDN w:val="0"/>
              <w:jc w:val="left"/>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continue"/>
            <w:tcBorders>
              <w:tl2br w:val="nil"/>
              <w:tr2bl w:val="nil"/>
            </w:tcBorders>
            <w:vAlign w:val="center"/>
          </w:tcPr>
          <w:p>
            <w:pPr>
              <w:rPr>
                <w:rFonts w:ascii="Times New Roman" w:hAnsi="Times New Roman"/>
                <w:color w:val="auto"/>
                <w:szCs w:val="21"/>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用人单位联系人</w:t>
            </w:r>
          </w:p>
        </w:tc>
        <w:tc>
          <w:tcPr>
            <w:tcW w:w="1121" w:type="pct"/>
            <w:gridSpan w:val="3"/>
            <w:tcBorders>
              <w:tl2br w:val="nil"/>
              <w:tr2bl w:val="nil"/>
            </w:tcBorders>
            <w:vAlign w:val="center"/>
          </w:tcPr>
          <w:p>
            <w:pPr>
              <w:autoSpaceDN w:val="0"/>
              <w:ind w:right="1050" w:rightChars="500"/>
              <w:jc w:val="center"/>
              <w:textAlignment w:val="center"/>
              <w:rPr>
                <w:rFonts w:ascii="Times New Roman" w:hAnsi="Times New Roman" w:eastAsia="仿宋_GB2312"/>
                <w:color w:val="auto"/>
                <w:szCs w:val="21"/>
                <w:lang w:eastAsia="zh-Hans"/>
              </w:rPr>
            </w:pPr>
          </w:p>
        </w:tc>
        <w:tc>
          <w:tcPr>
            <w:tcW w:w="1189" w:type="pct"/>
            <w:gridSpan w:val="3"/>
            <w:tcBorders>
              <w:tl2br w:val="nil"/>
              <w:tr2bl w:val="nil"/>
            </w:tcBorders>
            <w:vAlign w:val="center"/>
          </w:tcPr>
          <w:p>
            <w:pPr>
              <w:autoSpaceDN w:val="0"/>
              <w:jc w:val="center"/>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用人单位联系方式</w:t>
            </w:r>
          </w:p>
        </w:tc>
        <w:tc>
          <w:tcPr>
            <w:tcW w:w="855" w:type="pct"/>
            <w:gridSpan w:val="2"/>
            <w:tcBorders>
              <w:tl2br w:val="nil"/>
              <w:tr2bl w:val="nil"/>
            </w:tcBorders>
            <w:vAlign w:val="center"/>
          </w:tcPr>
          <w:p>
            <w:pPr>
              <w:autoSpaceDN w:val="0"/>
              <w:ind w:right="1050" w:rightChars="500"/>
              <w:jc w:val="right"/>
              <w:textAlignment w:val="center"/>
              <w:rPr>
                <w:rFonts w:ascii="Times New Roman" w:hAnsi="Times New Roman" w:eastAsia="仿宋_GB2312"/>
                <w:color w:val="auto"/>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6" w:type="pct"/>
            <w:vMerge w:val="continue"/>
            <w:tcBorders>
              <w:tl2br w:val="nil"/>
              <w:tr2bl w:val="nil"/>
            </w:tcBorders>
            <w:vAlign w:val="center"/>
          </w:tcPr>
          <w:p>
            <w:pPr>
              <w:rPr>
                <w:rFonts w:ascii="Times New Roman" w:hAnsi="Times New Roman"/>
                <w:color w:val="auto"/>
                <w:szCs w:val="21"/>
              </w:rPr>
            </w:pPr>
          </w:p>
        </w:tc>
        <w:tc>
          <w:tcPr>
            <w:tcW w:w="4383" w:type="pct"/>
            <w:gridSpan w:val="9"/>
            <w:tcBorders>
              <w:tl2br w:val="nil"/>
              <w:tr2bl w:val="nil"/>
            </w:tcBorders>
            <w:vAlign w:val="center"/>
          </w:tcPr>
          <w:p>
            <w:pPr>
              <w:autoSpaceDN w:val="0"/>
              <w:ind w:right="1260" w:rightChars="6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申请人：</w:t>
            </w:r>
          </w:p>
          <w:p>
            <w:pPr>
              <w:autoSpaceDN w:val="0"/>
              <w:ind w:right="1050" w:rightChars="5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（指印/章）</w:t>
            </w:r>
          </w:p>
          <w:p>
            <w:pPr>
              <w:autoSpaceDN w:val="0"/>
              <w:ind w:right="1050" w:rightChars="5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restar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辅助器具基本信息</w:t>
            </w: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辅助器具名称</w:t>
            </w:r>
          </w:p>
        </w:tc>
        <w:tc>
          <w:tcPr>
            <w:tcW w:w="3166" w:type="pct"/>
            <w:gridSpan w:val="8"/>
            <w:tcBorders>
              <w:tl2br w:val="nil"/>
              <w:tr2bl w:val="nil"/>
            </w:tcBorders>
            <w:vAlign w:val="center"/>
          </w:tcPr>
          <w:p>
            <w:pPr>
              <w:autoSpaceDN w:val="0"/>
              <w:ind w:right="1050" w:rightChars="500"/>
              <w:jc w:val="center"/>
              <w:textAlignment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vMerge w:val="continue"/>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p>
        </w:tc>
        <w:tc>
          <w:tcPr>
            <w:tcW w:w="12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最低使用年限</w:t>
            </w:r>
          </w:p>
        </w:tc>
        <w:tc>
          <w:tcPr>
            <w:tcW w:w="1079" w:type="pct"/>
            <w:tcBorders>
              <w:tl2br w:val="nil"/>
              <w:tr2bl w:val="nil"/>
            </w:tcBorders>
            <w:vAlign w:val="center"/>
          </w:tcPr>
          <w:p>
            <w:pPr>
              <w:autoSpaceDN w:val="0"/>
              <w:ind w:right="1050" w:rightChars="500"/>
              <w:jc w:val="center"/>
              <w:textAlignment w:val="center"/>
              <w:rPr>
                <w:rFonts w:ascii="Times New Roman" w:hAnsi="Times New Roman" w:eastAsia="仿宋_GB2312"/>
                <w:color w:val="auto"/>
                <w:szCs w:val="21"/>
                <w:lang w:eastAsia="zh-Hans"/>
              </w:rPr>
            </w:pPr>
          </w:p>
        </w:tc>
        <w:tc>
          <w:tcPr>
            <w:tcW w:w="1079" w:type="pct"/>
            <w:gridSpan w:val="3"/>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最高支付限额</w:t>
            </w:r>
          </w:p>
        </w:tc>
        <w:tc>
          <w:tcPr>
            <w:tcW w:w="1007" w:type="pct"/>
            <w:gridSpan w:val="4"/>
            <w:tcBorders>
              <w:tl2br w:val="nil"/>
              <w:tr2bl w:val="nil"/>
            </w:tcBorders>
            <w:vAlign w:val="center"/>
          </w:tcPr>
          <w:p>
            <w:pPr>
              <w:autoSpaceDN w:val="0"/>
              <w:ind w:right="1050" w:rightChars="500"/>
              <w:jc w:val="center"/>
              <w:textAlignment w:val="center"/>
              <w:rPr>
                <w:rFonts w:ascii="Times New Roman" w:hAnsi="Times New Roman" w:eastAsia="仿宋_GB2312"/>
                <w:color w:val="auto"/>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就医地</w:t>
            </w:r>
          </w:p>
        </w:tc>
        <w:tc>
          <w:tcPr>
            <w:tcW w:w="4383" w:type="pct"/>
            <w:gridSpan w:val="9"/>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rPr>
              <w:t>省（自治区、直辖市）</w:t>
            </w:r>
            <w:r>
              <w:rPr>
                <w:rFonts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616" w:type="pct"/>
            <w:tcBorders>
              <w:tl2br w:val="nil"/>
              <w:tr2bl w:val="nil"/>
            </w:tcBorders>
            <w:vAlign w:val="center"/>
          </w:tcPr>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参保地</w:t>
            </w:r>
          </w:p>
          <w:p>
            <w:pPr>
              <w:autoSpaceDN w:val="0"/>
              <w:jc w:val="center"/>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经办机构意见</w:t>
            </w:r>
          </w:p>
        </w:tc>
        <w:tc>
          <w:tcPr>
            <w:tcW w:w="4383" w:type="pct"/>
            <w:gridSpan w:val="9"/>
            <w:tcBorders>
              <w:tl2br w:val="nil"/>
              <w:tr2bl w:val="nil"/>
            </w:tcBorders>
            <w:vAlign w:val="center"/>
          </w:tcPr>
          <w:p>
            <w:pPr>
              <w:autoSpaceDN w:val="0"/>
              <w:jc w:val="left"/>
              <w:textAlignment w:val="center"/>
              <w:rPr>
                <w:rFonts w:ascii="Times New Roman" w:hAnsi="Times New Roman" w:eastAsia="仿宋_GB2312"/>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 xml:space="preserve">同意  </w:t>
            </w:r>
            <w:r>
              <w:rPr>
                <w:rFonts w:ascii="Times New Roman" w:hAnsi="Times New Roman" w:eastAsia="仿宋_GB2312" w:cs="Times New Roman"/>
                <w:color w:val="auto"/>
                <w:szCs w:val="21"/>
              </w:rPr>
              <w:t>□</w:t>
            </w:r>
            <w:r>
              <w:rPr>
                <w:rFonts w:ascii="Times New Roman" w:hAnsi="Times New Roman" w:eastAsia="仿宋_GB2312" w:cs="Times New Roman"/>
                <w:color w:val="auto"/>
                <w:szCs w:val="21"/>
                <w:lang w:eastAsia="zh-Hans"/>
              </w:rPr>
              <w:t>不同意</w:t>
            </w:r>
            <w:r>
              <w:rPr>
                <w:rFonts w:ascii="Times New Roman" w:hAnsi="Times New Roman" w:eastAsia="仿宋_GB2312" w:cs="Times New Roman"/>
                <w:color w:val="auto"/>
                <w:szCs w:val="21"/>
                <w:u w:val="single"/>
                <w:lang w:eastAsia="zh-Hans"/>
              </w:rPr>
              <w:t xml:space="preserve">        </w:t>
            </w:r>
            <w:r>
              <w:rPr>
                <w:rFonts w:hint="eastAsia" w:ascii="Times New Roman" w:hAnsi="Times New Roman" w:eastAsia="仿宋_GB2312" w:cs="Times New Roman"/>
                <w:color w:val="auto"/>
                <w:szCs w:val="21"/>
                <w:u w:val="single"/>
              </w:rPr>
              <w:t xml:space="preserve">             </w:t>
            </w:r>
            <w:r>
              <w:rPr>
                <w:rFonts w:ascii="Times New Roman" w:hAnsi="Times New Roman" w:eastAsia="仿宋_GB2312" w:cs="Times New Roman"/>
                <w:color w:val="auto"/>
                <w:szCs w:val="21"/>
                <w:u w:val="single"/>
                <w:lang w:eastAsia="zh-Hans"/>
              </w:rPr>
              <w:t xml:space="preserve"> </w:t>
            </w:r>
            <w:r>
              <w:rPr>
                <w:rFonts w:ascii="Times New Roman" w:hAnsi="Times New Roman" w:eastAsia="仿宋_GB2312" w:cs="Times New Roman"/>
                <w:color w:val="auto"/>
                <w:szCs w:val="21"/>
                <w:lang w:eastAsia="zh-Hans"/>
              </w:rPr>
              <w:t>（理由）</w:t>
            </w:r>
          </w:p>
          <w:p>
            <w:pPr>
              <w:autoSpaceDN w:val="0"/>
              <w:ind w:right="1260" w:rightChars="600"/>
              <w:jc w:val="left"/>
              <w:textAlignment w:val="center"/>
              <w:rPr>
                <w:rFonts w:hint="eastAsia" w:ascii="Times New Roman" w:hAnsi="Times New Roman" w:eastAsia="仿宋_GB2312"/>
                <w:color w:val="auto"/>
                <w:szCs w:val="21"/>
              </w:rPr>
            </w:pPr>
            <w:r>
              <w:rPr>
                <w:rFonts w:hint="eastAsia" w:ascii="Times New Roman" w:hAnsi="Times New Roman" w:eastAsia="仿宋_GB2312"/>
                <w:color w:val="auto"/>
                <w:szCs w:val="21"/>
              </w:rPr>
              <w:t>备案有效期：___年___月___日至___年___月___日</w:t>
            </w:r>
          </w:p>
          <w:p>
            <w:pPr>
              <w:autoSpaceDN w:val="0"/>
              <w:ind w:right="840" w:rightChars="400"/>
              <w:jc w:val="right"/>
              <w:textAlignment w:val="center"/>
              <w:rPr>
                <w:rFonts w:hint="eastAsia" w:ascii="Times New Roman" w:hAnsi="Times New Roman" w:eastAsia="仿宋_GB2312" w:cs="Times New Roman"/>
                <w:color w:val="auto"/>
                <w:szCs w:val="21"/>
              </w:rPr>
            </w:pPr>
          </w:p>
          <w:p>
            <w:pPr>
              <w:autoSpaceDN w:val="0"/>
              <w:ind w:right="840" w:rightChars="400"/>
              <w:jc w:val="right"/>
              <w:textAlignment w:val="center"/>
              <w:rPr>
                <w:rFonts w:ascii="Times New Roman" w:hAnsi="Times New Roman" w:eastAsia="仿宋_GB2312"/>
                <w:color w:val="auto"/>
                <w:szCs w:val="21"/>
                <w:lang w:eastAsia="zh-Hans"/>
              </w:rPr>
            </w:pPr>
            <w:r>
              <w:rPr>
                <w:rFonts w:ascii="Times New Roman" w:hAnsi="Times New Roman" w:eastAsia="仿宋_GB2312" w:cs="Times New Roman"/>
                <w:color w:val="auto"/>
                <w:szCs w:val="21"/>
                <w:lang w:eastAsia="zh-Hans"/>
              </w:rPr>
              <w:t>（经办机构</w:t>
            </w:r>
            <w:r>
              <w:rPr>
                <w:rFonts w:hint="eastAsia" w:ascii="Times New Roman" w:hAnsi="Times New Roman" w:eastAsia="仿宋_GB2312" w:cs="Times New Roman"/>
                <w:color w:val="auto"/>
                <w:szCs w:val="21"/>
              </w:rPr>
              <w:t>盖</w:t>
            </w:r>
            <w:r>
              <w:rPr>
                <w:rFonts w:ascii="Times New Roman" w:hAnsi="Times New Roman" w:eastAsia="仿宋_GB2312" w:cs="Times New Roman"/>
                <w:color w:val="auto"/>
                <w:szCs w:val="21"/>
                <w:lang w:eastAsia="zh-Hans"/>
              </w:rPr>
              <w:t>章）</w:t>
            </w:r>
          </w:p>
          <w:p>
            <w:pPr>
              <w:jc w:val="center"/>
              <w:rPr>
                <w:rFonts w:ascii="Times New Roman" w:hAnsi="Times New Roman" w:eastAsia="仿宋_GB2312"/>
                <w:color w:val="auto"/>
                <w:szCs w:val="21"/>
              </w:rPr>
            </w:pPr>
            <w:r>
              <w:rPr>
                <w:rFonts w:ascii="Times New Roman" w:hAnsi="Times New Roman" w:eastAsia="仿宋_GB2312" w:cs="Times New Roman"/>
                <w:color w:val="auto"/>
                <w:szCs w:val="21"/>
                <w:lang w:eastAsia="zh-Hans"/>
              </w:rPr>
              <w:t xml:space="preserve">        经办人：                      年  月  日</w:t>
            </w:r>
          </w:p>
        </w:tc>
      </w:tr>
    </w:tbl>
    <w:p>
      <w:pPr>
        <w:keepNext w:val="0"/>
        <w:keepLines w:val="0"/>
        <w:pageBreakBefore w:val="0"/>
        <w:widowControl w:val="0"/>
        <w:kinsoku/>
        <w:wordWrap/>
        <w:overflowPunct/>
        <w:topLinePunct w:val="0"/>
        <w:autoSpaceDE/>
        <w:autoSpaceDN/>
        <w:bidi w:val="0"/>
        <w:adjustRightInd/>
        <w:snapToGrid/>
        <w:spacing w:line="240" w:lineRule="exact"/>
        <w:ind w:firstLine="11"/>
        <w:jc w:val="left"/>
        <w:textAlignment w:val="auto"/>
        <w:rPr>
          <w:rFonts w:ascii="Times New Roman" w:hAnsi="Times New Roman" w:eastAsia="楷体"/>
          <w:color w:val="auto"/>
          <w:szCs w:val="21"/>
        </w:rPr>
      </w:pPr>
      <w:r>
        <w:rPr>
          <w:rFonts w:ascii="Times New Roman" w:hAnsi="Times New Roman" w:eastAsia="楷体" w:cs="Times New Roman"/>
          <w:color w:val="auto"/>
          <w:szCs w:val="21"/>
        </w:rPr>
        <w:t>备注：1.本表一式二份，经办机构留存一份，</w:t>
      </w:r>
      <w:r>
        <w:rPr>
          <w:rFonts w:ascii="Times New Roman" w:hAnsi="Times New Roman" w:eastAsia="楷体" w:cs="Times New Roman"/>
          <w:color w:val="auto"/>
          <w:szCs w:val="21"/>
          <w:lang w:eastAsia="zh-Hans"/>
        </w:rPr>
        <w:t>申请人</w:t>
      </w:r>
      <w:r>
        <w:rPr>
          <w:rFonts w:ascii="Times New Roman" w:hAnsi="Times New Roman" w:eastAsia="楷体" w:cs="Times New Roman"/>
          <w:color w:val="auto"/>
          <w:szCs w:val="21"/>
        </w:rPr>
        <w:t>留存一份；</w:t>
      </w:r>
    </w:p>
    <w:p>
      <w:pPr>
        <w:keepNext w:val="0"/>
        <w:keepLines w:val="0"/>
        <w:pageBreakBefore w:val="0"/>
        <w:widowControl w:val="0"/>
        <w:kinsoku/>
        <w:wordWrap/>
        <w:overflowPunct/>
        <w:topLinePunct w:val="0"/>
        <w:autoSpaceDE/>
        <w:autoSpaceDN/>
        <w:bidi w:val="0"/>
        <w:adjustRightInd/>
        <w:snapToGrid/>
        <w:spacing w:line="240" w:lineRule="exact"/>
        <w:ind w:left="631" w:firstLine="11"/>
        <w:jc w:val="left"/>
        <w:textAlignment w:val="auto"/>
        <w:rPr>
          <w:rFonts w:ascii="Times New Roman" w:hAnsi="Times New Roman" w:eastAsia="楷体"/>
          <w:color w:val="auto"/>
        </w:rPr>
      </w:pPr>
      <w:r>
        <w:rPr>
          <w:rFonts w:ascii="Times New Roman" w:hAnsi="Times New Roman" w:eastAsia="Times New Roman" w:cs="Times New Roman"/>
          <w:color w:val="auto"/>
        </w:rPr>
        <w:t>2.</w:t>
      </w:r>
      <w:r>
        <w:rPr>
          <w:rFonts w:ascii="Times New Roman" w:hAnsi="Times New Roman" w:eastAsia="楷体" w:cs="Times New Roman"/>
          <w:color w:val="auto"/>
        </w:rPr>
        <w:t>本表供工伤职工</w:t>
      </w:r>
      <w:r>
        <w:rPr>
          <w:rFonts w:ascii="Times New Roman" w:hAnsi="Times New Roman" w:eastAsia="楷体" w:cs="Times New Roman"/>
          <w:color w:val="auto"/>
          <w:lang w:eastAsia="zh-Hans"/>
        </w:rPr>
        <w:t>及其近亲属、用人单位</w:t>
      </w:r>
      <w:r>
        <w:rPr>
          <w:rFonts w:ascii="Times New Roman" w:hAnsi="Times New Roman" w:eastAsia="楷体" w:cs="Times New Roman"/>
          <w:color w:val="auto"/>
        </w:rPr>
        <w:t>申请备案使用，工伤职工近亲属申请的，另须提供其有效身份证明和与工伤职工</w:t>
      </w:r>
      <w:r>
        <w:rPr>
          <w:rFonts w:ascii="Times New Roman" w:hAnsi="Times New Roman" w:eastAsia="楷体" w:cs="Times New Roman"/>
          <w:color w:val="auto"/>
          <w:lang w:eastAsia="zh-Hans"/>
        </w:rPr>
        <w:t>的</w:t>
      </w:r>
      <w:r>
        <w:rPr>
          <w:rFonts w:ascii="Times New Roman" w:hAnsi="Times New Roman" w:eastAsia="楷体" w:cs="Times New Roman"/>
          <w:color w:val="auto"/>
        </w:rPr>
        <w:t>关系佐证材料</w:t>
      </w:r>
      <w:r>
        <w:rPr>
          <w:rFonts w:hint="eastAsia" w:ascii="Times New Roman" w:hAnsi="Times New Roman" w:eastAsia="楷体" w:cs="Times New Roman"/>
          <w:color w:val="auto"/>
        </w:rPr>
        <w:t>，工伤职工委托他人申请的，另须提供授权委托书；</w:t>
      </w:r>
    </w:p>
    <w:p>
      <w:pPr>
        <w:keepNext w:val="0"/>
        <w:keepLines w:val="0"/>
        <w:pageBreakBefore w:val="0"/>
        <w:widowControl w:val="0"/>
        <w:kinsoku/>
        <w:wordWrap/>
        <w:overflowPunct/>
        <w:topLinePunct w:val="0"/>
        <w:autoSpaceDE/>
        <w:autoSpaceDN/>
        <w:bidi w:val="0"/>
        <w:adjustRightInd/>
        <w:snapToGrid/>
        <w:spacing w:line="240" w:lineRule="exact"/>
        <w:ind w:left="631" w:firstLine="11"/>
        <w:jc w:val="left"/>
        <w:textAlignment w:val="auto"/>
        <w:rPr>
          <w:rFonts w:ascii="Times New Roman Regular" w:hAnsi="Times New Roman Regular" w:eastAsia="楷体" w:cs="Times New Roman Regular"/>
          <w:color w:val="auto"/>
        </w:rPr>
      </w:pPr>
      <w:r>
        <w:rPr>
          <w:rFonts w:ascii="Times New Roman" w:hAnsi="Times New Roman" w:eastAsia="楷体" w:cs="Times New Roman"/>
          <w:color w:val="auto"/>
        </w:rPr>
        <w:t>3.转诊转院工伤职工另须提供参保地</w:t>
      </w:r>
      <w:r>
        <w:rPr>
          <w:rFonts w:hint="eastAsia" w:ascii="Times New Roman" w:hAnsi="Times New Roman" w:eastAsia="楷体" w:cs="Times New Roman"/>
          <w:color w:val="auto"/>
        </w:rPr>
        <w:t>规定的</w:t>
      </w:r>
      <w:r>
        <w:rPr>
          <w:rFonts w:ascii="Times New Roman" w:hAnsi="Times New Roman" w:eastAsia="楷体" w:cs="Times New Roman"/>
          <w:color w:val="auto"/>
        </w:rPr>
        <w:t>协议机构转诊转院意见</w:t>
      </w:r>
      <w:r>
        <w:rPr>
          <w:rFonts w:hint="eastAsia" w:ascii="Times New Roman" w:hAnsi="Times New Roman" w:eastAsia="楷体" w:cs="Times New Roman"/>
          <w:color w:val="auto"/>
          <w:lang w:eastAsia="zh-Hans"/>
        </w:rPr>
        <w:t>。</w:t>
      </w:r>
    </w:p>
    <w:p>
      <w:pPr>
        <w:keepNext w:val="0"/>
        <w:keepLines w:val="0"/>
        <w:pageBreakBefore w:val="0"/>
        <w:widowControl w:val="0"/>
        <w:kinsoku/>
        <w:wordWrap/>
        <w:overflowPunct/>
        <w:topLinePunct w:val="0"/>
        <w:autoSpaceDE/>
        <w:autoSpaceDN/>
        <w:bidi w:val="0"/>
        <w:adjustRightInd/>
        <w:snapToGrid/>
        <w:spacing w:line="240" w:lineRule="exact"/>
        <w:ind w:left="631" w:firstLine="11"/>
        <w:jc w:val="left"/>
        <w:textAlignment w:val="auto"/>
        <w:rPr>
          <w:rFonts w:ascii="Times New Roman" w:hAnsi="Times New Roman" w:eastAsia="楷体"/>
          <w:color w:val="auto"/>
        </w:rPr>
      </w:pPr>
      <w:r>
        <w:rPr>
          <w:rFonts w:ascii="Times New Roman" w:hAnsi="Times New Roman" w:eastAsia="楷体"/>
          <w:color w:val="auto"/>
        </w:rPr>
        <w:t>4</w:t>
      </w:r>
      <w:r>
        <w:rPr>
          <w:rFonts w:hint="eastAsia" w:ascii="Times New Roman" w:hAnsi="Times New Roman" w:eastAsia="楷体"/>
          <w:color w:val="auto"/>
        </w:rPr>
        <w:t>.省外</w:t>
      </w:r>
      <w:r>
        <w:rPr>
          <w:rFonts w:ascii="Times New Roman" w:hAnsi="Times New Roman" w:eastAsia="楷体"/>
          <w:color w:val="auto"/>
        </w:rPr>
        <w:t>长期居住工伤职工，居住地为户籍所在地的另须提供户籍相关材料、居住地为非户籍所在地的须提供</w:t>
      </w:r>
      <w:r>
        <w:rPr>
          <w:rFonts w:hint="eastAsia" w:ascii="Times New Roman" w:hAnsi="Times New Roman" w:eastAsia="楷体"/>
          <w:color w:val="auto"/>
        </w:rPr>
        <w:t>居住证、村（居）委会证明等</w:t>
      </w:r>
      <w:r>
        <w:rPr>
          <w:rFonts w:ascii="Times New Roman" w:hAnsi="Times New Roman" w:eastAsia="楷体"/>
          <w:color w:val="auto"/>
        </w:rPr>
        <w:t>长期居住佐证材料</w:t>
      </w:r>
      <w:r>
        <w:rPr>
          <w:rFonts w:hint="eastAsia" w:ascii="Times New Roman" w:hAnsi="Times New Roman" w:eastAsia="楷体"/>
          <w:color w:val="auto"/>
        </w:rPr>
        <w:t>；</w:t>
      </w:r>
    </w:p>
    <w:p>
      <w:pPr>
        <w:keepNext w:val="0"/>
        <w:keepLines w:val="0"/>
        <w:pageBreakBefore w:val="0"/>
        <w:widowControl w:val="0"/>
        <w:kinsoku/>
        <w:wordWrap/>
        <w:overflowPunct/>
        <w:topLinePunct w:val="0"/>
        <w:autoSpaceDE/>
        <w:autoSpaceDN/>
        <w:bidi w:val="0"/>
        <w:adjustRightInd/>
        <w:snapToGrid/>
        <w:spacing w:line="240" w:lineRule="exact"/>
        <w:ind w:left="631" w:firstLine="11"/>
        <w:jc w:val="left"/>
        <w:textAlignment w:val="auto"/>
        <w:rPr>
          <w:rFonts w:ascii="Times New Roman" w:hAnsi="Times New Roman" w:eastAsia="楷体"/>
          <w:color w:val="auto"/>
        </w:rPr>
      </w:pPr>
      <w:r>
        <w:rPr>
          <w:rFonts w:ascii="Times New Roman" w:hAnsi="Times New Roman" w:eastAsia="楷体"/>
          <w:color w:val="auto"/>
        </w:rPr>
        <w:t>5.常驻</w:t>
      </w:r>
      <w:r>
        <w:rPr>
          <w:rFonts w:hint="eastAsia" w:ascii="Times New Roman" w:hAnsi="Times New Roman" w:eastAsia="楷体"/>
          <w:color w:val="auto"/>
        </w:rPr>
        <w:t>省外</w:t>
      </w:r>
      <w:r>
        <w:rPr>
          <w:rFonts w:ascii="Times New Roman" w:hAnsi="Times New Roman" w:eastAsia="楷体"/>
          <w:color w:val="auto"/>
        </w:rPr>
        <w:t>工作工伤职工，另须提供常驻异地工作的佐证材料（参保地工作单位派出证明、异地工作单位证明、劳动合同等）。</w:t>
      </w:r>
    </w:p>
    <w:p>
      <w:pPr>
        <w:widowControl/>
        <w:spacing w:after="40" w:line="240" w:lineRule="exact"/>
        <w:ind w:left="631" w:firstLine="11"/>
        <w:jc w:val="left"/>
        <w:rPr>
          <w:rFonts w:ascii="Times New Roman Regular" w:hAnsi="Times New Roman Regular" w:eastAsia="楷体" w:cs="Times New Roman Regular"/>
          <w:color w:val="auto"/>
        </w:rPr>
        <w:sectPr>
          <w:pgSz w:w="11906" w:h="16838"/>
          <w:pgMar w:top="2098" w:right="1531" w:bottom="1814" w:left="1531" w:header="851" w:footer="1587" w:gutter="0"/>
          <w:cols w:space="0" w:num="1"/>
          <w:titlePg/>
          <w:rtlGutter w:val="0"/>
          <w:docGrid w:type="lines" w:linePitch="315" w:charSpace="0"/>
        </w:sectPr>
      </w:pPr>
    </w:p>
    <w:p>
      <w:pPr>
        <w:widowControl/>
        <w:jc w:val="left"/>
        <w:rPr>
          <w:rFonts w:hint="eastAsia" w:ascii="黑体" w:hAnsi="黑体" w:eastAsia="黑体" w:cs="黑体"/>
          <w:bCs w:val="0"/>
          <w:color w:val="auto"/>
          <w:sz w:val="32"/>
          <w:szCs w:val="32"/>
        </w:rPr>
      </w:pPr>
      <w:r>
        <w:rPr>
          <w:rFonts w:hint="eastAsia" w:ascii="黑体" w:hAnsi="黑体" w:eastAsia="黑体" w:cs="黑体"/>
          <w:bCs w:val="0"/>
          <w:color w:val="auto"/>
          <w:sz w:val="32"/>
          <w:szCs w:val="32"/>
        </w:rPr>
        <w:t>附件3</w:t>
      </w:r>
    </w:p>
    <w:p>
      <w:pPr>
        <w:widowControl/>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市工伤保险省内异地就医应收费用清算表</w:t>
      </w:r>
    </w:p>
    <w:p>
      <w:pPr>
        <w:rPr>
          <w:rFonts w:ascii="仿宋" w:hAnsi="仿宋" w:eastAsia="仿宋" w:cs="仿宋"/>
          <w:color w:val="auto"/>
          <w:szCs w:val="21"/>
        </w:rPr>
      </w:pPr>
      <w:r>
        <w:rPr>
          <w:rFonts w:hint="eastAsia" w:ascii="仿宋" w:hAnsi="仿宋" w:eastAsia="仿宋" w:cs="仿宋"/>
          <w:color w:val="auto"/>
          <w:szCs w:val="21"/>
        </w:rPr>
        <w:t>制表单位：                                    清算所属季度：XXXX年第X季度                             单位：元（保留两位小数）</w:t>
      </w:r>
    </w:p>
    <w:tbl>
      <w:tblPr>
        <w:tblStyle w:val="11"/>
        <w:tblpPr w:leftFromText="180" w:rightFromText="180" w:vertAnchor="text" w:horzAnchor="page" w:tblpX="1693" w:tblpY="68"/>
        <w:tblOverlap w:val="never"/>
        <w:tblW w:w="13677" w:type="dxa"/>
        <w:tblInd w:w="0" w:type="dxa"/>
        <w:tblLayout w:type="fixed"/>
        <w:tblCellMar>
          <w:top w:w="0" w:type="dxa"/>
          <w:left w:w="108" w:type="dxa"/>
          <w:bottom w:w="0" w:type="dxa"/>
          <w:right w:w="108" w:type="dxa"/>
        </w:tblCellMar>
      </w:tblPr>
      <w:tblGrid>
        <w:gridCol w:w="2632"/>
        <w:gridCol w:w="2539"/>
        <w:gridCol w:w="2843"/>
        <w:gridCol w:w="2587"/>
        <w:gridCol w:w="3076"/>
      </w:tblGrid>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参保地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合计</w:t>
            </w: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住院（门诊）医疗</w:t>
            </w: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住院（门诊）康复</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辅助器具配置</w:t>
            </w: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济南</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青岛</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烟台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 w:hAnsi="仿宋" w:eastAsia="仿宋" w:cs="仿宋"/>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r>
        <w:tblPrEx>
          <w:tblCellMar>
            <w:top w:w="0" w:type="dxa"/>
            <w:left w:w="108" w:type="dxa"/>
            <w:bottom w:w="0" w:type="dxa"/>
            <w:right w:w="108" w:type="dxa"/>
          </w:tblCellMar>
        </w:tblPrEx>
        <w:trPr>
          <w:trHeight w:val="695"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r>
              <w:rPr>
                <w:rFonts w:hint="eastAsia" w:ascii="仿宋" w:hAnsi="仿宋" w:eastAsia="仿宋" w:cs="仿宋"/>
                <w:color w:val="auto"/>
                <w:szCs w:val="21"/>
              </w:rPr>
              <w:t>合  计</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 w:hAnsi="仿宋" w:eastAsia="仿宋" w:cs="仿宋"/>
                <w:color w:val="auto"/>
                <w:szCs w:val="21"/>
              </w:rPr>
            </w:pPr>
          </w:p>
        </w:tc>
      </w:tr>
    </w:tbl>
    <w:p>
      <w:pPr>
        <w:ind w:firstLine="210" w:firstLineChars="100"/>
        <w:rPr>
          <w:rFonts w:hint="eastAsia" w:ascii="仿宋" w:hAnsi="仿宋" w:eastAsia="仿宋" w:cs="仿宋"/>
          <w:color w:val="auto"/>
          <w:szCs w:val="21"/>
        </w:rPr>
      </w:pPr>
      <w:r>
        <w:rPr>
          <w:rFonts w:hint="eastAsia" w:ascii="仿宋" w:hAnsi="仿宋" w:eastAsia="仿宋" w:cs="仿宋"/>
          <w:color w:val="auto"/>
          <w:szCs w:val="21"/>
        </w:rPr>
        <w:t xml:space="preserve">负责人：                           审核人：                          制表人：                        制表日期：      </w:t>
      </w:r>
    </w:p>
    <w:p>
      <w:pPr>
        <w:rPr>
          <w:rFonts w:hint="eastAsia" w:ascii="仿宋" w:hAnsi="仿宋" w:eastAsia="仿宋" w:cs="仿宋"/>
          <w:color w:val="auto"/>
          <w:szCs w:val="21"/>
        </w:rPr>
      </w:pPr>
      <w:r>
        <w:rPr>
          <w:rFonts w:hint="eastAsia" w:ascii="仿宋" w:hAnsi="仿宋" w:eastAsia="仿宋" w:cs="仿宋"/>
          <w:color w:val="auto"/>
          <w:szCs w:val="21"/>
        </w:rPr>
        <w:br w:type="page"/>
      </w:r>
    </w:p>
    <w:p>
      <w:pPr>
        <w:rPr>
          <w:rFonts w:hint="eastAsia" w:ascii="黑体" w:hAnsi="黑体" w:eastAsia="黑体" w:cs="黑体"/>
          <w:bCs w:val="0"/>
          <w:color w:val="auto"/>
          <w:sz w:val="32"/>
          <w:szCs w:val="32"/>
          <w:u w:val="none"/>
        </w:rPr>
      </w:pPr>
      <w:r>
        <w:rPr>
          <w:rFonts w:hint="eastAsia" w:ascii="黑体" w:hAnsi="黑体" w:eastAsia="黑体" w:cs="黑体"/>
          <w:bCs w:val="0"/>
          <w:color w:val="auto"/>
          <w:sz w:val="32"/>
          <w:szCs w:val="32"/>
        </w:rPr>
        <w:t>附件4</w:t>
      </w:r>
    </w:p>
    <w:p>
      <w:pPr>
        <w:widowControl/>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市工伤保险省内异地就医应付费用清算表</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制表单位：                                    清算所属季度：XXXX年第X季度                             单位：元（保留两位小数）</w:t>
      </w:r>
    </w:p>
    <w:tbl>
      <w:tblPr>
        <w:tblStyle w:val="11"/>
        <w:tblpPr w:leftFromText="180" w:rightFromText="180" w:vertAnchor="text" w:horzAnchor="page" w:tblpX="1693" w:tblpY="68"/>
        <w:tblOverlap w:val="never"/>
        <w:tblW w:w="13677" w:type="dxa"/>
        <w:tblInd w:w="0" w:type="dxa"/>
        <w:tblLayout w:type="fixed"/>
        <w:tblCellMar>
          <w:top w:w="0" w:type="dxa"/>
          <w:left w:w="108" w:type="dxa"/>
          <w:bottom w:w="0" w:type="dxa"/>
          <w:right w:w="108" w:type="dxa"/>
        </w:tblCellMar>
      </w:tblPr>
      <w:tblGrid>
        <w:gridCol w:w="2632"/>
        <w:gridCol w:w="2539"/>
        <w:gridCol w:w="2843"/>
        <w:gridCol w:w="2587"/>
        <w:gridCol w:w="3076"/>
      </w:tblGrid>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就医地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住院（门诊）医疗</w:t>
            </w: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住院（门诊）康复</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辅助器具配置</w:t>
            </w: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济南</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青岛</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烟台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95"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bl>
    <w:p>
      <w:pPr>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负责人：                           审核人：                          制表人：                        制表日期：    </w:t>
      </w:r>
    </w:p>
    <w:p>
      <w:pPr>
        <w:rPr>
          <w:rFonts w:hint="eastAsia" w:ascii="仿宋" w:hAnsi="仿宋" w:eastAsia="仿宋" w:cs="仿宋"/>
          <w:color w:val="auto"/>
          <w:szCs w:val="21"/>
        </w:rPr>
      </w:pPr>
      <w:r>
        <w:rPr>
          <w:rFonts w:hint="eastAsia" w:ascii="仿宋" w:hAnsi="仿宋" w:eastAsia="仿宋" w:cs="仿宋"/>
          <w:color w:val="auto"/>
          <w:szCs w:val="21"/>
        </w:rPr>
        <w:br w:type="page"/>
      </w:r>
    </w:p>
    <w:p>
      <w:pPr>
        <w:rPr>
          <w:rFonts w:hint="eastAsia" w:ascii="黑体" w:hAnsi="黑体" w:eastAsia="黑体" w:cs="黑体"/>
          <w:bCs w:val="0"/>
          <w:color w:val="auto"/>
          <w:sz w:val="32"/>
          <w:szCs w:val="32"/>
        </w:rPr>
      </w:pPr>
      <w:r>
        <w:rPr>
          <w:rFonts w:hint="eastAsia" w:ascii="黑体" w:hAnsi="黑体" w:eastAsia="黑体" w:cs="黑体"/>
          <w:bCs w:val="0"/>
          <w:color w:val="auto"/>
          <w:sz w:val="32"/>
          <w:szCs w:val="32"/>
        </w:rPr>
        <w:t>附件5</w:t>
      </w:r>
    </w:p>
    <w:p>
      <w:pPr>
        <w:widowControl/>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市工伤保险跨省异地就医应收费用清算表</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制表单位：                                    清算所属季度：XXXX年第X季度                             单位：元（保留两位小数）</w:t>
      </w:r>
    </w:p>
    <w:tbl>
      <w:tblPr>
        <w:tblStyle w:val="11"/>
        <w:tblpPr w:leftFromText="180" w:rightFromText="180" w:vertAnchor="text" w:horzAnchor="page" w:tblpX="1693" w:tblpY="68"/>
        <w:tblOverlap w:val="never"/>
        <w:tblW w:w="13677" w:type="dxa"/>
        <w:tblInd w:w="0" w:type="dxa"/>
        <w:tblLayout w:type="fixed"/>
        <w:tblCellMar>
          <w:top w:w="0" w:type="dxa"/>
          <w:left w:w="108" w:type="dxa"/>
          <w:bottom w:w="0" w:type="dxa"/>
          <w:right w:w="108" w:type="dxa"/>
        </w:tblCellMar>
      </w:tblPr>
      <w:tblGrid>
        <w:gridCol w:w="2632"/>
        <w:gridCol w:w="2539"/>
        <w:gridCol w:w="2843"/>
        <w:gridCol w:w="2587"/>
        <w:gridCol w:w="3076"/>
      </w:tblGrid>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参保地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住院（门诊）医疗</w:t>
            </w: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住院（门诊）康复</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辅助器具配置</w:t>
            </w: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北京</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天津</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河北</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95"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bl>
    <w:p>
      <w:pPr>
        <w:ind w:firstLine="210" w:firstLineChars="100"/>
        <w:rPr>
          <w:rFonts w:hint="eastAsia" w:ascii="仿宋" w:hAnsi="仿宋" w:eastAsia="仿宋" w:cs="仿宋"/>
          <w:color w:val="auto"/>
          <w:szCs w:val="21"/>
        </w:rPr>
      </w:pPr>
      <w:r>
        <w:rPr>
          <w:rFonts w:hint="eastAsia" w:ascii="仿宋_GB2312" w:hAnsi="仿宋_GB2312" w:eastAsia="仿宋_GB2312" w:cs="仿宋_GB2312"/>
          <w:color w:val="auto"/>
          <w:szCs w:val="21"/>
        </w:rPr>
        <w:t xml:space="preserve">负责人：                           审核人：                          制表人：                        制表日期：      </w:t>
      </w:r>
    </w:p>
    <w:p>
      <w:pPr>
        <w:rPr>
          <w:rFonts w:hint="eastAsia" w:ascii="仿宋" w:hAnsi="仿宋" w:eastAsia="仿宋" w:cs="仿宋"/>
          <w:color w:val="auto"/>
          <w:szCs w:val="21"/>
        </w:rPr>
      </w:pPr>
      <w:r>
        <w:rPr>
          <w:rFonts w:hint="eastAsia" w:ascii="仿宋" w:hAnsi="仿宋" w:eastAsia="仿宋" w:cs="仿宋"/>
          <w:color w:val="auto"/>
          <w:szCs w:val="21"/>
        </w:rPr>
        <w:br w:type="page"/>
      </w:r>
    </w:p>
    <w:p>
      <w:pPr>
        <w:rPr>
          <w:rFonts w:hint="eastAsia" w:ascii="黑体" w:hAnsi="黑体" w:eastAsia="黑体" w:cs="黑体"/>
          <w:bCs w:val="0"/>
          <w:color w:val="auto"/>
          <w:sz w:val="32"/>
          <w:szCs w:val="32"/>
        </w:rPr>
      </w:pPr>
      <w:r>
        <w:rPr>
          <w:rFonts w:hint="eastAsia" w:ascii="黑体" w:hAnsi="黑体" w:eastAsia="黑体" w:cs="黑体"/>
          <w:bCs w:val="0"/>
          <w:color w:val="auto"/>
          <w:sz w:val="32"/>
          <w:szCs w:val="32"/>
        </w:rPr>
        <w:t>附件6</w:t>
      </w:r>
    </w:p>
    <w:p>
      <w:pPr>
        <w:widowControl/>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single"/>
        </w:rPr>
        <w:t xml:space="preserve">     </w:t>
      </w:r>
      <w:r>
        <w:rPr>
          <w:rFonts w:hint="eastAsia" w:ascii="方正小标宋简体" w:hAnsi="方正小标宋简体" w:eastAsia="方正小标宋简体" w:cs="方正小标宋简体"/>
          <w:bCs/>
          <w:color w:val="auto"/>
          <w:sz w:val="44"/>
          <w:szCs w:val="44"/>
        </w:rPr>
        <w:t>市工伤保险跨省异地就医应付费用清算表</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制表单位：                                    清算所属季度：XXXX年第X季度                             单位：元（保留两位小数）</w:t>
      </w:r>
    </w:p>
    <w:tbl>
      <w:tblPr>
        <w:tblStyle w:val="11"/>
        <w:tblpPr w:leftFromText="180" w:rightFromText="180" w:vertAnchor="text" w:horzAnchor="page" w:tblpX="1693" w:tblpY="68"/>
        <w:tblOverlap w:val="never"/>
        <w:tblW w:w="13677" w:type="dxa"/>
        <w:tblInd w:w="0" w:type="dxa"/>
        <w:tblLayout w:type="fixed"/>
        <w:tblCellMar>
          <w:top w:w="0" w:type="dxa"/>
          <w:left w:w="108" w:type="dxa"/>
          <w:bottom w:w="0" w:type="dxa"/>
          <w:right w:w="108" w:type="dxa"/>
        </w:tblCellMar>
      </w:tblPr>
      <w:tblGrid>
        <w:gridCol w:w="2632"/>
        <w:gridCol w:w="2539"/>
        <w:gridCol w:w="2843"/>
        <w:gridCol w:w="2587"/>
        <w:gridCol w:w="3076"/>
      </w:tblGrid>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就医地</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住院（门诊）医疗</w:t>
            </w: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住院（门诊）康复</w:t>
            </w: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辅助器具配置</w:t>
            </w: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北京</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天津</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河北</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03"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eastAsia" w:ascii="仿宋_GB2312" w:hAnsi="仿宋_GB2312" w:eastAsia="仿宋_GB2312" w:cs="仿宋_GB2312"/>
                <w:color w:val="auto"/>
                <w:szCs w:val="21"/>
              </w:rPr>
            </w:pP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695" w:hRule="exact"/>
        </w:trPr>
        <w:tc>
          <w:tcPr>
            <w:tcW w:w="263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合  计</w:t>
            </w:r>
          </w:p>
        </w:tc>
        <w:tc>
          <w:tcPr>
            <w:tcW w:w="253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84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25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c>
          <w:tcPr>
            <w:tcW w:w="30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仿宋_GB2312" w:hAnsi="仿宋_GB2312" w:eastAsia="仿宋_GB2312" w:cs="仿宋_GB2312"/>
                <w:color w:val="auto"/>
                <w:szCs w:val="21"/>
              </w:rPr>
            </w:pPr>
          </w:p>
        </w:tc>
      </w:tr>
    </w:tbl>
    <w:p>
      <w:pPr>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负责人：                           审核人：                          制表人：                        制表日期：     </w:t>
      </w:r>
    </w:p>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br w:type="page"/>
      </w:r>
    </w:p>
    <w:p>
      <w:pPr>
        <w:rPr>
          <w:rFonts w:hint="eastAsia" w:ascii="黑体" w:hAnsi="黑体" w:eastAsia="黑体" w:cs="黑体"/>
          <w:bCs w:val="0"/>
          <w:color w:val="auto"/>
          <w:sz w:val="32"/>
          <w:szCs w:val="32"/>
          <w:lang w:val="en-US" w:eastAsia="zh-CN"/>
        </w:rPr>
      </w:pPr>
      <w:r>
        <w:rPr>
          <w:rFonts w:hint="eastAsia" w:ascii="黑体" w:hAnsi="黑体" w:eastAsia="黑体" w:cs="黑体"/>
          <w:bCs w:val="0"/>
          <w:color w:val="auto"/>
          <w:sz w:val="32"/>
          <w:szCs w:val="32"/>
        </w:rPr>
        <w:t>附件</w:t>
      </w:r>
      <w:r>
        <w:rPr>
          <w:rFonts w:hint="eastAsia" w:ascii="黑体" w:hAnsi="黑体" w:eastAsia="黑体" w:cs="黑体"/>
          <w:bCs w:val="0"/>
          <w:color w:val="auto"/>
          <w:sz w:val="32"/>
          <w:szCs w:val="32"/>
          <w:lang w:val="en-US" w:eastAsia="zh-CN"/>
        </w:rPr>
        <w:t>7</w:t>
      </w:r>
    </w:p>
    <w:p>
      <w:pPr>
        <w:widowControl/>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u w:val="none"/>
        </w:rPr>
        <w:t>山东省工伤保险省内异地就医费用清算表</w:t>
      </w:r>
    </w:p>
    <w:tbl>
      <w:tblPr>
        <w:tblStyle w:val="11"/>
        <w:tblW w:w="13778" w:type="dxa"/>
        <w:jc w:val="center"/>
        <w:tblLayout w:type="fixed"/>
        <w:tblCellMar>
          <w:top w:w="0" w:type="dxa"/>
          <w:left w:w="108" w:type="dxa"/>
          <w:bottom w:w="0" w:type="dxa"/>
          <w:right w:w="108" w:type="dxa"/>
        </w:tblCellMar>
      </w:tblPr>
      <w:tblGrid>
        <w:gridCol w:w="630"/>
        <w:gridCol w:w="680"/>
        <w:gridCol w:w="680"/>
        <w:gridCol w:w="680"/>
        <w:gridCol w:w="680"/>
        <w:gridCol w:w="680"/>
        <w:gridCol w:w="680"/>
        <w:gridCol w:w="680"/>
        <w:gridCol w:w="680"/>
        <w:gridCol w:w="680"/>
        <w:gridCol w:w="680"/>
        <w:gridCol w:w="680"/>
        <w:gridCol w:w="680"/>
        <w:gridCol w:w="680"/>
        <w:gridCol w:w="680"/>
        <w:gridCol w:w="680"/>
        <w:gridCol w:w="680"/>
        <w:gridCol w:w="680"/>
        <w:gridCol w:w="794"/>
        <w:gridCol w:w="794"/>
      </w:tblGrid>
      <w:tr>
        <w:tblPrEx>
          <w:tblCellMar>
            <w:top w:w="0" w:type="dxa"/>
            <w:left w:w="108" w:type="dxa"/>
            <w:bottom w:w="0" w:type="dxa"/>
            <w:right w:w="108" w:type="dxa"/>
          </w:tblCellMar>
        </w:tblPrEx>
        <w:trPr>
          <w:trHeight w:val="285" w:hRule="atLeast"/>
          <w:jc w:val="center"/>
        </w:trPr>
        <w:tc>
          <w:tcPr>
            <w:tcW w:w="13778" w:type="dxa"/>
            <w:gridSpan w:val="20"/>
            <w:tcBorders>
              <w:top w:val="nil"/>
              <w:left w:val="nil"/>
              <w:bottom w:val="nil"/>
              <w:right w:val="nil"/>
            </w:tcBorders>
            <w:shd w:val="clear" w:color="auto" w:fill="auto"/>
            <w:vAlign w:val="center"/>
          </w:tcPr>
          <w:p>
            <w:pPr>
              <w:widowControl/>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制表单位：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清算所属季度：XXXX年第X季度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单位：元（保留两位小数）</w:t>
            </w:r>
          </w:p>
        </w:tc>
      </w:tr>
      <w:tr>
        <w:tblPrEx>
          <w:tblCellMar>
            <w:top w:w="0" w:type="dxa"/>
            <w:left w:w="108" w:type="dxa"/>
            <w:bottom w:w="0" w:type="dxa"/>
            <w:right w:w="108" w:type="dxa"/>
          </w:tblCellMar>
        </w:tblPrEx>
        <w:trPr>
          <w:trHeight w:val="315" w:hRule="atLeast"/>
          <w:jc w:val="center"/>
        </w:trPr>
        <w:tc>
          <w:tcPr>
            <w:tcW w:w="131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地  区</w:t>
            </w:r>
          </w:p>
        </w:tc>
        <w:tc>
          <w:tcPr>
            <w:tcW w:w="12468" w:type="dxa"/>
            <w:gridSpan w:val="18"/>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参保地</w:t>
            </w:r>
          </w:p>
        </w:tc>
      </w:tr>
      <w:tr>
        <w:tblPrEx>
          <w:tblCellMar>
            <w:top w:w="0" w:type="dxa"/>
            <w:left w:w="108" w:type="dxa"/>
            <w:bottom w:w="0" w:type="dxa"/>
            <w:right w:w="108" w:type="dxa"/>
          </w:tblCellMar>
        </w:tblPrEx>
        <w:trPr>
          <w:trHeight w:val="324" w:hRule="atLeast"/>
          <w:jc w:val="center"/>
        </w:trPr>
        <w:tc>
          <w:tcPr>
            <w:tcW w:w="1310" w:type="dxa"/>
            <w:gridSpan w:val="2"/>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济南</w:t>
            </w:r>
          </w:p>
        </w:tc>
        <w:tc>
          <w:tcPr>
            <w:tcW w:w="680"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青岛</w:t>
            </w:r>
          </w:p>
        </w:tc>
        <w:tc>
          <w:tcPr>
            <w:tcW w:w="680"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淄博</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枣庄</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东营</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烟台</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潍坊</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济宁</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泰安</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威海</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日照</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临沂</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德州</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聊城</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滨州</w:t>
            </w:r>
          </w:p>
        </w:tc>
        <w:tc>
          <w:tcPr>
            <w:tcW w:w="680"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菏泽</w:t>
            </w:r>
          </w:p>
        </w:tc>
        <w:tc>
          <w:tcPr>
            <w:tcW w:w="794"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 w:val="18"/>
                <w:szCs w:val="18"/>
                <w:lang w:bidi="ar"/>
              </w:rPr>
              <w:t>省本级</w:t>
            </w:r>
          </w:p>
        </w:tc>
        <w:tc>
          <w:tcPr>
            <w:tcW w:w="794"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合计</w:t>
            </w:r>
          </w:p>
        </w:tc>
      </w:tr>
      <w:tr>
        <w:tblPrEx>
          <w:tblCellMar>
            <w:top w:w="0" w:type="dxa"/>
            <w:left w:w="108" w:type="dxa"/>
            <w:bottom w:w="0" w:type="dxa"/>
            <w:right w:w="108" w:type="dxa"/>
          </w:tblCellMar>
        </w:tblPrEx>
        <w:trPr>
          <w:trHeight w:val="315" w:hRule="atLeast"/>
          <w:jc w:val="center"/>
        </w:trPr>
        <w:tc>
          <w:tcPr>
            <w:tcW w:w="6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就医地</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济南</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青岛</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淄博</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枣庄</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东营</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烟台</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潍坊</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济宁</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泰安</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威海</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日照</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临沂</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德州</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聊城</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滨州</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300"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菏泽</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r>
        <w:tblPrEx>
          <w:tblCellMar>
            <w:top w:w="0" w:type="dxa"/>
            <w:left w:w="108" w:type="dxa"/>
            <w:bottom w:w="0" w:type="dxa"/>
            <w:right w:w="108" w:type="dxa"/>
          </w:tblCellMar>
        </w:tblPrEx>
        <w:trPr>
          <w:trHeight w:val="285" w:hRule="atLeast"/>
          <w:jc w:val="center"/>
        </w:trPr>
        <w:tc>
          <w:tcPr>
            <w:tcW w:w="6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合计</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Cs w:val="21"/>
              </w:rPr>
            </w:pPr>
          </w:p>
        </w:tc>
      </w:tr>
    </w:tbl>
    <w:p>
      <w:pPr>
        <w:rPr>
          <w:rFonts w:hint="eastAsia" w:ascii="仿宋" w:hAnsi="仿宋" w:eastAsia="仿宋" w:cs="仿宋"/>
          <w:color w:val="auto"/>
          <w:szCs w:val="21"/>
        </w:rPr>
      </w:pPr>
    </w:p>
    <w:p>
      <w:pPr>
        <w:rPr>
          <w:rFonts w:hint="eastAsia" w:ascii="仿宋" w:hAnsi="仿宋" w:eastAsia="仿宋" w:cs="仿宋"/>
          <w:color w:val="auto"/>
          <w:szCs w:val="21"/>
        </w:rPr>
      </w:pPr>
      <w:r>
        <w:rPr>
          <w:rFonts w:hint="eastAsia" w:ascii="仿宋" w:hAnsi="仿宋" w:eastAsia="仿宋" w:cs="仿宋"/>
          <w:color w:val="auto"/>
          <w:szCs w:val="21"/>
        </w:rPr>
        <w:t>负责人：                             审核人：                               制表人：                            制表日期：</w:t>
      </w:r>
    </w:p>
    <w:p>
      <w:pPr>
        <w:rPr>
          <w:rFonts w:hint="eastAsia" w:ascii="仿宋" w:hAnsi="仿宋" w:eastAsia="仿宋" w:cs="仿宋"/>
          <w:color w:val="auto"/>
          <w:szCs w:val="21"/>
        </w:rPr>
      </w:pPr>
      <w:r>
        <w:rPr>
          <w:rFonts w:hint="eastAsia" w:ascii="仿宋" w:hAnsi="仿宋" w:eastAsia="仿宋" w:cs="仿宋"/>
          <w:color w:val="auto"/>
          <w:szCs w:val="21"/>
        </w:rPr>
        <w:br w:type="page"/>
      </w:r>
    </w:p>
    <w:p>
      <w:pPr>
        <w:rPr>
          <w:color w:val="auto"/>
        </w:rPr>
      </w:pPr>
      <w:r>
        <w:rPr>
          <w:color w:val="auto"/>
        </w:rPr>
        <w:object>
          <v:shape id="_x0000_i1025" o:spt="75" type="#_x0000_t75" style="height:433.6pt;width:652.4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r>
        <w:rPr>
          <w:color w:val="auto"/>
        </w:rPr>
        <w:br w:type="page"/>
      </w:r>
    </w:p>
    <w:p>
      <w:pPr>
        <w:jc w:val="center"/>
        <w:rPr>
          <w:rFonts w:hint="eastAsia"/>
          <w:color w:val="auto"/>
        </w:rPr>
      </w:pPr>
      <w:r>
        <w:rPr>
          <w:color w:val="auto"/>
        </w:rPr>
        <w:object>
          <v:shape id="_x0000_i1026" o:spt="75" type="#_x0000_t75" style="height:422.35pt;width:651.95pt;" o:ole="t" filled="f" o:preferrelative="t" stroked="f" coordsize="21600,21600">
            <v:path/>
            <v:fill on="f" focussize="0,0"/>
            <v:stroke on="f"/>
            <v:imagedata r:id="rId7" o:title=""/>
            <o:lock v:ext="edit" aspectratio="f"/>
            <w10:wrap type="none"/>
            <w10:anchorlock/>
          </v:shape>
          <o:OLEObject Type="Embed" ProgID="Excel.Sheet.12" ShapeID="_x0000_i1026" DrawAspect="Content" ObjectID="_1468075726" r:id="rId6">
            <o:LockedField>false</o:LockedField>
          </o:OLEObject>
        </w:object>
      </w:r>
    </w:p>
    <w:sectPr>
      <w:pgSz w:w="16838" w:h="11906" w:orient="landscape"/>
      <w:pgMar w:top="1531" w:right="1814" w:bottom="1531" w:left="181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s>
  <w:rsids>
    <w:rsidRoot w:val="00FB5C34"/>
    <w:rsid w:val="000021AD"/>
    <w:rsid w:val="00005B6E"/>
    <w:rsid w:val="00017F8B"/>
    <w:rsid w:val="00024945"/>
    <w:rsid w:val="00026E4E"/>
    <w:rsid w:val="000300C9"/>
    <w:rsid w:val="0003034D"/>
    <w:rsid w:val="00033E58"/>
    <w:rsid w:val="00042D76"/>
    <w:rsid w:val="00043038"/>
    <w:rsid w:val="00043C08"/>
    <w:rsid w:val="00045BA5"/>
    <w:rsid w:val="000509DB"/>
    <w:rsid w:val="00057037"/>
    <w:rsid w:val="00067CAD"/>
    <w:rsid w:val="00071541"/>
    <w:rsid w:val="00071D91"/>
    <w:rsid w:val="00072D6D"/>
    <w:rsid w:val="00073D18"/>
    <w:rsid w:val="00075BBF"/>
    <w:rsid w:val="00076373"/>
    <w:rsid w:val="00082855"/>
    <w:rsid w:val="000852EC"/>
    <w:rsid w:val="0009691C"/>
    <w:rsid w:val="000A0241"/>
    <w:rsid w:val="000A3C25"/>
    <w:rsid w:val="000B3F5F"/>
    <w:rsid w:val="000B447E"/>
    <w:rsid w:val="000C6EB1"/>
    <w:rsid w:val="000D0608"/>
    <w:rsid w:val="000D48B6"/>
    <w:rsid w:val="000D69F9"/>
    <w:rsid w:val="000E0004"/>
    <w:rsid w:val="000E1391"/>
    <w:rsid w:val="000E527A"/>
    <w:rsid w:val="000E7638"/>
    <w:rsid w:val="000F2DC1"/>
    <w:rsid w:val="000F45F6"/>
    <w:rsid w:val="00105208"/>
    <w:rsid w:val="00106F55"/>
    <w:rsid w:val="0011091E"/>
    <w:rsid w:val="0011205E"/>
    <w:rsid w:val="0011497E"/>
    <w:rsid w:val="00116259"/>
    <w:rsid w:val="001219C5"/>
    <w:rsid w:val="00123EA4"/>
    <w:rsid w:val="00125277"/>
    <w:rsid w:val="00130603"/>
    <w:rsid w:val="00156BDF"/>
    <w:rsid w:val="00157F19"/>
    <w:rsid w:val="00162C98"/>
    <w:rsid w:val="00163227"/>
    <w:rsid w:val="00164F25"/>
    <w:rsid w:val="00166CD6"/>
    <w:rsid w:val="00170BAC"/>
    <w:rsid w:val="00170BB8"/>
    <w:rsid w:val="00174DDE"/>
    <w:rsid w:val="001908E4"/>
    <w:rsid w:val="00197B14"/>
    <w:rsid w:val="001A241B"/>
    <w:rsid w:val="001A44FB"/>
    <w:rsid w:val="001A6EB1"/>
    <w:rsid w:val="001B030C"/>
    <w:rsid w:val="001B0973"/>
    <w:rsid w:val="001B26C6"/>
    <w:rsid w:val="001B4887"/>
    <w:rsid w:val="001B59C4"/>
    <w:rsid w:val="001B5AD9"/>
    <w:rsid w:val="001B7583"/>
    <w:rsid w:val="001C09F5"/>
    <w:rsid w:val="001C4061"/>
    <w:rsid w:val="001C6D05"/>
    <w:rsid w:val="001D4666"/>
    <w:rsid w:val="001E1941"/>
    <w:rsid w:val="001F3891"/>
    <w:rsid w:val="001F48EE"/>
    <w:rsid w:val="001F50EB"/>
    <w:rsid w:val="001F68A0"/>
    <w:rsid w:val="002008B5"/>
    <w:rsid w:val="00204FC5"/>
    <w:rsid w:val="00205B1C"/>
    <w:rsid w:val="00210827"/>
    <w:rsid w:val="0022082D"/>
    <w:rsid w:val="00223FBF"/>
    <w:rsid w:val="00237117"/>
    <w:rsid w:val="0024039E"/>
    <w:rsid w:val="002473A1"/>
    <w:rsid w:val="002501AE"/>
    <w:rsid w:val="00252BFA"/>
    <w:rsid w:val="00254DEC"/>
    <w:rsid w:val="00261BA8"/>
    <w:rsid w:val="002662C0"/>
    <w:rsid w:val="00266652"/>
    <w:rsid w:val="00273B77"/>
    <w:rsid w:val="00274350"/>
    <w:rsid w:val="00275D78"/>
    <w:rsid w:val="00280125"/>
    <w:rsid w:val="0028056A"/>
    <w:rsid w:val="00281AE6"/>
    <w:rsid w:val="00284F4F"/>
    <w:rsid w:val="002876F9"/>
    <w:rsid w:val="00290576"/>
    <w:rsid w:val="00290D8A"/>
    <w:rsid w:val="002A1769"/>
    <w:rsid w:val="002A63A0"/>
    <w:rsid w:val="002A7EDB"/>
    <w:rsid w:val="002B53C8"/>
    <w:rsid w:val="002C331A"/>
    <w:rsid w:val="002C4983"/>
    <w:rsid w:val="002D0FE2"/>
    <w:rsid w:val="002D4DD2"/>
    <w:rsid w:val="002E2043"/>
    <w:rsid w:val="002F1E05"/>
    <w:rsid w:val="00300857"/>
    <w:rsid w:val="00301CD7"/>
    <w:rsid w:val="00303A64"/>
    <w:rsid w:val="00306358"/>
    <w:rsid w:val="00306591"/>
    <w:rsid w:val="00306B1F"/>
    <w:rsid w:val="00310E11"/>
    <w:rsid w:val="003320F9"/>
    <w:rsid w:val="00332576"/>
    <w:rsid w:val="0033303D"/>
    <w:rsid w:val="00333620"/>
    <w:rsid w:val="003354D1"/>
    <w:rsid w:val="0033635F"/>
    <w:rsid w:val="003469B0"/>
    <w:rsid w:val="0035297E"/>
    <w:rsid w:val="00355809"/>
    <w:rsid w:val="00356D8C"/>
    <w:rsid w:val="00357C54"/>
    <w:rsid w:val="00363A3D"/>
    <w:rsid w:val="003642B6"/>
    <w:rsid w:val="00372506"/>
    <w:rsid w:val="00382E35"/>
    <w:rsid w:val="00384322"/>
    <w:rsid w:val="003867C0"/>
    <w:rsid w:val="00386C45"/>
    <w:rsid w:val="0038797F"/>
    <w:rsid w:val="003A26E1"/>
    <w:rsid w:val="003A3364"/>
    <w:rsid w:val="003B0031"/>
    <w:rsid w:val="003B1DCF"/>
    <w:rsid w:val="003B30AF"/>
    <w:rsid w:val="003B5B8A"/>
    <w:rsid w:val="003C4995"/>
    <w:rsid w:val="003C50F2"/>
    <w:rsid w:val="003C7EE8"/>
    <w:rsid w:val="003D1111"/>
    <w:rsid w:val="003D1A71"/>
    <w:rsid w:val="003D426D"/>
    <w:rsid w:val="003E0B5B"/>
    <w:rsid w:val="003F12D6"/>
    <w:rsid w:val="003F2590"/>
    <w:rsid w:val="00405899"/>
    <w:rsid w:val="00410CCE"/>
    <w:rsid w:val="00415EB5"/>
    <w:rsid w:val="00416C5F"/>
    <w:rsid w:val="00422277"/>
    <w:rsid w:val="00424690"/>
    <w:rsid w:val="004252AF"/>
    <w:rsid w:val="0042624D"/>
    <w:rsid w:val="004274A2"/>
    <w:rsid w:val="004403E9"/>
    <w:rsid w:val="00440B58"/>
    <w:rsid w:val="00440C73"/>
    <w:rsid w:val="00442010"/>
    <w:rsid w:val="004420E5"/>
    <w:rsid w:val="00442EE5"/>
    <w:rsid w:val="0046701E"/>
    <w:rsid w:val="00471A75"/>
    <w:rsid w:val="004734B7"/>
    <w:rsid w:val="00474108"/>
    <w:rsid w:val="00476336"/>
    <w:rsid w:val="0047649D"/>
    <w:rsid w:val="00484838"/>
    <w:rsid w:val="0048494F"/>
    <w:rsid w:val="004853FA"/>
    <w:rsid w:val="00490661"/>
    <w:rsid w:val="00493142"/>
    <w:rsid w:val="004A3CD3"/>
    <w:rsid w:val="004A60AC"/>
    <w:rsid w:val="004B5392"/>
    <w:rsid w:val="004B53F8"/>
    <w:rsid w:val="004C2B8C"/>
    <w:rsid w:val="004C3E90"/>
    <w:rsid w:val="004C6628"/>
    <w:rsid w:val="004C6782"/>
    <w:rsid w:val="004C6F07"/>
    <w:rsid w:val="004C72C9"/>
    <w:rsid w:val="004D1B00"/>
    <w:rsid w:val="004D29DF"/>
    <w:rsid w:val="004F3525"/>
    <w:rsid w:val="004F53B7"/>
    <w:rsid w:val="004F7BA1"/>
    <w:rsid w:val="00501132"/>
    <w:rsid w:val="005037E7"/>
    <w:rsid w:val="00515EF0"/>
    <w:rsid w:val="00516A8D"/>
    <w:rsid w:val="00520C0F"/>
    <w:rsid w:val="00524260"/>
    <w:rsid w:val="00524427"/>
    <w:rsid w:val="005400C5"/>
    <w:rsid w:val="005454AB"/>
    <w:rsid w:val="00546B8A"/>
    <w:rsid w:val="005500FC"/>
    <w:rsid w:val="00562D5B"/>
    <w:rsid w:val="00565001"/>
    <w:rsid w:val="005872B8"/>
    <w:rsid w:val="00596DAB"/>
    <w:rsid w:val="005A10F9"/>
    <w:rsid w:val="005A3CB7"/>
    <w:rsid w:val="005A4611"/>
    <w:rsid w:val="005A47C4"/>
    <w:rsid w:val="005A5C08"/>
    <w:rsid w:val="005C5A21"/>
    <w:rsid w:val="005C6605"/>
    <w:rsid w:val="005D10D9"/>
    <w:rsid w:val="005D1D08"/>
    <w:rsid w:val="005D1F01"/>
    <w:rsid w:val="005E0EFC"/>
    <w:rsid w:val="005E2B95"/>
    <w:rsid w:val="005E304C"/>
    <w:rsid w:val="005E4155"/>
    <w:rsid w:val="005F3B59"/>
    <w:rsid w:val="006033FF"/>
    <w:rsid w:val="00603795"/>
    <w:rsid w:val="006100EA"/>
    <w:rsid w:val="006107DD"/>
    <w:rsid w:val="0061484A"/>
    <w:rsid w:val="00616531"/>
    <w:rsid w:val="00624B57"/>
    <w:rsid w:val="00634EE3"/>
    <w:rsid w:val="00645F37"/>
    <w:rsid w:val="0064651B"/>
    <w:rsid w:val="006465AB"/>
    <w:rsid w:val="00646674"/>
    <w:rsid w:val="00654D1D"/>
    <w:rsid w:val="00673ECA"/>
    <w:rsid w:val="006748F1"/>
    <w:rsid w:val="0068273A"/>
    <w:rsid w:val="00687B99"/>
    <w:rsid w:val="00693D24"/>
    <w:rsid w:val="0069549E"/>
    <w:rsid w:val="006A00BA"/>
    <w:rsid w:val="006A17AB"/>
    <w:rsid w:val="006A2D1F"/>
    <w:rsid w:val="006A5581"/>
    <w:rsid w:val="006A68AD"/>
    <w:rsid w:val="006C2645"/>
    <w:rsid w:val="006C3C5A"/>
    <w:rsid w:val="006C79B3"/>
    <w:rsid w:val="006D5AB5"/>
    <w:rsid w:val="006D75AF"/>
    <w:rsid w:val="006E64BB"/>
    <w:rsid w:val="006E6FCC"/>
    <w:rsid w:val="006F18F3"/>
    <w:rsid w:val="006F56E5"/>
    <w:rsid w:val="006F641D"/>
    <w:rsid w:val="0070316B"/>
    <w:rsid w:val="00703C32"/>
    <w:rsid w:val="007133C0"/>
    <w:rsid w:val="00714692"/>
    <w:rsid w:val="007178DB"/>
    <w:rsid w:val="00726330"/>
    <w:rsid w:val="00732C27"/>
    <w:rsid w:val="00732DFB"/>
    <w:rsid w:val="00737CDB"/>
    <w:rsid w:val="007436F2"/>
    <w:rsid w:val="00745C9B"/>
    <w:rsid w:val="007500BD"/>
    <w:rsid w:val="00752D5A"/>
    <w:rsid w:val="00762235"/>
    <w:rsid w:val="00771290"/>
    <w:rsid w:val="007759EA"/>
    <w:rsid w:val="007818F9"/>
    <w:rsid w:val="00784DEB"/>
    <w:rsid w:val="00797623"/>
    <w:rsid w:val="00797700"/>
    <w:rsid w:val="007A100E"/>
    <w:rsid w:val="007A2FC3"/>
    <w:rsid w:val="007A3189"/>
    <w:rsid w:val="007A3ED0"/>
    <w:rsid w:val="007B38C9"/>
    <w:rsid w:val="007C1FE8"/>
    <w:rsid w:val="007C308E"/>
    <w:rsid w:val="007C656A"/>
    <w:rsid w:val="007E0EBE"/>
    <w:rsid w:val="007E4367"/>
    <w:rsid w:val="007E4F81"/>
    <w:rsid w:val="007F4BDA"/>
    <w:rsid w:val="007F4C43"/>
    <w:rsid w:val="007F5238"/>
    <w:rsid w:val="007F5FDC"/>
    <w:rsid w:val="007F7182"/>
    <w:rsid w:val="00803F22"/>
    <w:rsid w:val="008044B2"/>
    <w:rsid w:val="0080521F"/>
    <w:rsid w:val="00807228"/>
    <w:rsid w:val="008145A2"/>
    <w:rsid w:val="0082027A"/>
    <w:rsid w:val="008219A7"/>
    <w:rsid w:val="00826A3A"/>
    <w:rsid w:val="00832E98"/>
    <w:rsid w:val="0083678B"/>
    <w:rsid w:val="0084129B"/>
    <w:rsid w:val="00842C20"/>
    <w:rsid w:val="00845523"/>
    <w:rsid w:val="008562EB"/>
    <w:rsid w:val="00860B8E"/>
    <w:rsid w:val="00861701"/>
    <w:rsid w:val="008643D9"/>
    <w:rsid w:val="008722BC"/>
    <w:rsid w:val="0087468B"/>
    <w:rsid w:val="00877A8F"/>
    <w:rsid w:val="00881C43"/>
    <w:rsid w:val="00883C84"/>
    <w:rsid w:val="00892251"/>
    <w:rsid w:val="00893394"/>
    <w:rsid w:val="0089470E"/>
    <w:rsid w:val="00895361"/>
    <w:rsid w:val="00896B72"/>
    <w:rsid w:val="008A50AA"/>
    <w:rsid w:val="008A5B4C"/>
    <w:rsid w:val="008A5E56"/>
    <w:rsid w:val="008A698F"/>
    <w:rsid w:val="008B0422"/>
    <w:rsid w:val="008B7887"/>
    <w:rsid w:val="008C28BE"/>
    <w:rsid w:val="008C4A63"/>
    <w:rsid w:val="008C5B73"/>
    <w:rsid w:val="008C686E"/>
    <w:rsid w:val="008D5120"/>
    <w:rsid w:val="008D5F11"/>
    <w:rsid w:val="008E5826"/>
    <w:rsid w:val="008E6C5E"/>
    <w:rsid w:val="008F0D23"/>
    <w:rsid w:val="008F1BD1"/>
    <w:rsid w:val="008F22A7"/>
    <w:rsid w:val="008F296B"/>
    <w:rsid w:val="008F465E"/>
    <w:rsid w:val="00900822"/>
    <w:rsid w:val="00902C4C"/>
    <w:rsid w:val="00906E8A"/>
    <w:rsid w:val="0091207A"/>
    <w:rsid w:val="0091252C"/>
    <w:rsid w:val="00913B69"/>
    <w:rsid w:val="009202A8"/>
    <w:rsid w:val="00922DEE"/>
    <w:rsid w:val="00927AF1"/>
    <w:rsid w:val="00927DBD"/>
    <w:rsid w:val="0093035C"/>
    <w:rsid w:val="00935D49"/>
    <w:rsid w:val="0094544D"/>
    <w:rsid w:val="009470BB"/>
    <w:rsid w:val="00967F83"/>
    <w:rsid w:val="0097009A"/>
    <w:rsid w:val="0097131B"/>
    <w:rsid w:val="0097194E"/>
    <w:rsid w:val="00973CD6"/>
    <w:rsid w:val="00974568"/>
    <w:rsid w:val="00981901"/>
    <w:rsid w:val="00991713"/>
    <w:rsid w:val="009937B1"/>
    <w:rsid w:val="009960E9"/>
    <w:rsid w:val="009B04A7"/>
    <w:rsid w:val="009B0578"/>
    <w:rsid w:val="009B2287"/>
    <w:rsid w:val="009B26E4"/>
    <w:rsid w:val="009B4025"/>
    <w:rsid w:val="009B4422"/>
    <w:rsid w:val="009C03CF"/>
    <w:rsid w:val="009C2CCC"/>
    <w:rsid w:val="009D1E19"/>
    <w:rsid w:val="009D59BB"/>
    <w:rsid w:val="009E5ED1"/>
    <w:rsid w:val="009F3D73"/>
    <w:rsid w:val="009F4A67"/>
    <w:rsid w:val="009F7C14"/>
    <w:rsid w:val="00A10141"/>
    <w:rsid w:val="00A1210A"/>
    <w:rsid w:val="00A20A48"/>
    <w:rsid w:val="00A27330"/>
    <w:rsid w:val="00A33695"/>
    <w:rsid w:val="00A4008A"/>
    <w:rsid w:val="00A41378"/>
    <w:rsid w:val="00A413F2"/>
    <w:rsid w:val="00A44E19"/>
    <w:rsid w:val="00A45020"/>
    <w:rsid w:val="00A50346"/>
    <w:rsid w:val="00A5132D"/>
    <w:rsid w:val="00A5712B"/>
    <w:rsid w:val="00A62151"/>
    <w:rsid w:val="00A6732D"/>
    <w:rsid w:val="00A70F8D"/>
    <w:rsid w:val="00A755BC"/>
    <w:rsid w:val="00A82F88"/>
    <w:rsid w:val="00A831C5"/>
    <w:rsid w:val="00A86CEC"/>
    <w:rsid w:val="00A911AD"/>
    <w:rsid w:val="00A92647"/>
    <w:rsid w:val="00A94A82"/>
    <w:rsid w:val="00AA0BF8"/>
    <w:rsid w:val="00AB1825"/>
    <w:rsid w:val="00AB1E83"/>
    <w:rsid w:val="00AD08EC"/>
    <w:rsid w:val="00AD4A56"/>
    <w:rsid w:val="00AD6B6F"/>
    <w:rsid w:val="00AD6FE5"/>
    <w:rsid w:val="00AE6995"/>
    <w:rsid w:val="00AF0649"/>
    <w:rsid w:val="00AF68D0"/>
    <w:rsid w:val="00B019E0"/>
    <w:rsid w:val="00B077A0"/>
    <w:rsid w:val="00B07AA6"/>
    <w:rsid w:val="00B14FFE"/>
    <w:rsid w:val="00B174EA"/>
    <w:rsid w:val="00B22C2A"/>
    <w:rsid w:val="00B23B05"/>
    <w:rsid w:val="00B2535B"/>
    <w:rsid w:val="00B25BED"/>
    <w:rsid w:val="00B26BAD"/>
    <w:rsid w:val="00B33E29"/>
    <w:rsid w:val="00B35B77"/>
    <w:rsid w:val="00B37D6D"/>
    <w:rsid w:val="00B4556C"/>
    <w:rsid w:val="00B51B1E"/>
    <w:rsid w:val="00B523D1"/>
    <w:rsid w:val="00B622DB"/>
    <w:rsid w:val="00B65075"/>
    <w:rsid w:val="00B656EE"/>
    <w:rsid w:val="00B6593B"/>
    <w:rsid w:val="00B72C04"/>
    <w:rsid w:val="00B72C6F"/>
    <w:rsid w:val="00B75177"/>
    <w:rsid w:val="00B822BB"/>
    <w:rsid w:val="00B92A91"/>
    <w:rsid w:val="00B9427A"/>
    <w:rsid w:val="00B94600"/>
    <w:rsid w:val="00B959D4"/>
    <w:rsid w:val="00BA2065"/>
    <w:rsid w:val="00BA393C"/>
    <w:rsid w:val="00BA46C5"/>
    <w:rsid w:val="00BB4C23"/>
    <w:rsid w:val="00BB50A5"/>
    <w:rsid w:val="00BC268F"/>
    <w:rsid w:val="00BC6DF9"/>
    <w:rsid w:val="00BD0BBF"/>
    <w:rsid w:val="00BD455D"/>
    <w:rsid w:val="00BD6B97"/>
    <w:rsid w:val="00BE1D8B"/>
    <w:rsid w:val="00BE356D"/>
    <w:rsid w:val="00BF248D"/>
    <w:rsid w:val="00BF594B"/>
    <w:rsid w:val="00BF74EC"/>
    <w:rsid w:val="00C02E84"/>
    <w:rsid w:val="00C042FB"/>
    <w:rsid w:val="00C04849"/>
    <w:rsid w:val="00C04A23"/>
    <w:rsid w:val="00C05403"/>
    <w:rsid w:val="00C054A1"/>
    <w:rsid w:val="00C12645"/>
    <w:rsid w:val="00C14695"/>
    <w:rsid w:val="00C1585E"/>
    <w:rsid w:val="00C158BB"/>
    <w:rsid w:val="00C15F55"/>
    <w:rsid w:val="00C220FE"/>
    <w:rsid w:val="00C2536E"/>
    <w:rsid w:val="00C273E5"/>
    <w:rsid w:val="00C355A0"/>
    <w:rsid w:val="00C36E74"/>
    <w:rsid w:val="00C40BDF"/>
    <w:rsid w:val="00C4118E"/>
    <w:rsid w:val="00C57574"/>
    <w:rsid w:val="00C57980"/>
    <w:rsid w:val="00C60499"/>
    <w:rsid w:val="00C61632"/>
    <w:rsid w:val="00C628C4"/>
    <w:rsid w:val="00C6504A"/>
    <w:rsid w:val="00C74194"/>
    <w:rsid w:val="00C75AB5"/>
    <w:rsid w:val="00C77C17"/>
    <w:rsid w:val="00C77E51"/>
    <w:rsid w:val="00C82E2D"/>
    <w:rsid w:val="00C84B5B"/>
    <w:rsid w:val="00C8719B"/>
    <w:rsid w:val="00C875CB"/>
    <w:rsid w:val="00C91669"/>
    <w:rsid w:val="00C92EEE"/>
    <w:rsid w:val="00C95CDC"/>
    <w:rsid w:val="00C97799"/>
    <w:rsid w:val="00CA068B"/>
    <w:rsid w:val="00CB4AA1"/>
    <w:rsid w:val="00CC07D9"/>
    <w:rsid w:val="00CC4ADC"/>
    <w:rsid w:val="00CC6794"/>
    <w:rsid w:val="00CC6D99"/>
    <w:rsid w:val="00CC7DBD"/>
    <w:rsid w:val="00CD0F00"/>
    <w:rsid w:val="00CD3D59"/>
    <w:rsid w:val="00CE095A"/>
    <w:rsid w:val="00CE3C36"/>
    <w:rsid w:val="00CE5049"/>
    <w:rsid w:val="00CE5D7C"/>
    <w:rsid w:val="00CE72B0"/>
    <w:rsid w:val="00CF7A02"/>
    <w:rsid w:val="00D005BF"/>
    <w:rsid w:val="00D0116A"/>
    <w:rsid w:val="00D05BD6"/>
    <w:rsid w:val="00D15B7E"/>
    <w:rsid w:val="00D176C2"/>
    <w:rsid w:val="00D21C21"/>
    <w:rsid w:val="00D2486F"/>
    <w:rsid w:val="00D3068D"/>
    <w:rsid w:val="00D31019"/>
    <w:rsid w:val="00D32598"/>
    <w:rsid w:val="00D37E49"/>
    <w:rsid w:val="00D422EA"/>
    <w:rsid w:val="00D463DF"/>
    <w:rsid w:val="00D47FA8"/>
    <w:rsid w:val="00D50CB5"/>
    <w:rsid w:val="00D50CEF"/>
    <w:rsid w:val="00D6075F"/>
    <w:rsid w:val="00D74F1A"/>
    <w:rsid w:val="00D755D2"/>
    <w:rsid w:val="00D911BA"/>
    <w:rsid w:val="00D92AE8"/>
    <w:rsid w:val="00D94C5B"/>
    <w:rsid w:val="00D952A9"/>
    <w:rsid w:val="00DA10FE"/>
    <w:rsid w:val="00DA2C57"/>
    <w:rsid w:val="00DB2B0E"/>
    <w:rsid w:val="00DB5134"/>
    <w:rsid w:val="00DB69FF"/>
    <w:rsid w:val="00DC2AE2"/>
    <w:rsid w:val="00DC52CD"/>
    <w:rsid w:val="00DD15B2"/>
    <w:rsid w:val="00DD45B9"/>
    <w:rsid w:val="00DD7554"/>
    <w:rsid w:val="00DE4E5C"/>
    <w:rsid w:val="00DF0227"/>
    <w:rsid w:val="00DF190B"/>
    <w:rsid w:val="00DF3218"/>
    <w:rsid w:val="00DF3CAC"/>
    <w:rsid w:val="00DF6C0E"/>
    <w:rsid w:val="00E000C2"/>
    <w:rsid w:val="00E04284"/>
    <w:rsid w:val="00E05E7F"/>
    <w:rsid w:val="00E148CB"/>
    <w:rsid w:val="00E223F1"/>
    <w:rsid w:val="00E279B0"/>
    <w:rsid w:val="00E3433B"/>
    <w:rsid w:val="00E34AD8"/>
    <w:rsid w:val="00E4341F"/>
    <w:rsid w:val="00E46174"/>
    <w:rsid w:val="00E56E35"/>
    <w:rsid w:val="00E70052"/>
    <w:rsid w:val="00E759A9"/>
    <w:rsid w:val="00E77F9D"/>
    <w:rsid w:val="00E853EF"/>
    <w:rsid w:val="00E90227"/>
    <w:rsid w:val="00EA5689"/>
    <w:rsid w:val="00EA72C0"/>
    <w:rsid w:val="00EB4E20"/>
    <w:rsid w:val="00EB56A4"/>
    <w:rsid w:val="00EC05DA"/>
    <w:rsid w:val="00ED4AF0"/>
    <w:rsid w:val="00ED7E78"/>
    <w:rsid w:val="00EE1491"/>
    <w:rsid w:val="00EE28C7"/>
    <w:rsid w:val="00EE4624"/>
    <w:rsid w:val="00EF3564"/>
    <w:rsid w:val="00F17707"/>
    <w:rsid w:val="00F22C62"/>
    <w:rsid w:val="00F24E14"/>
    <w:rsid w:val="00F24E9B"/>
    <w:rsid w:val="00F256D8"/>
    <w:rsid w:val="00F26B31"/>
    <w:rsid w:val="00F31B4D"/>
    <w:rsid w:val="00F33D2A"/>
    <w:rsid w:val="00F50CF7"/>
    <w:rsid w:val="00F54320"/>
    <w:rsid w:val="00F62381"/>
    <w:rsid w:val="00F6300D"/>
    <w:rsid w:val="00F63EB2"/>
    <w:rsid w:val="00F651F8"/>
    <w:rsid w:val="00F6521A"/>
    <w:rsid w:val="00F73A6A"/>
    <w:rsid w:val="00F750D7"/>
    <w:rsid w:val="00F80874"/>
    <w:rsid w:val="00F83D0B"/>
    <w:rsid w:val="00F85ABB"/>
    <w:rsid w:val="00F900F4"/>
    <w:rsid w:val="00F96365"/>
    <w:rsid w:val="00FA0404"/>
    <w:rsid w:val="00FA4A09"/>
    <w:rsid w:val="00FA5640"/>
    <w:rsid w:val="00FB0E02"/>
    <w:rsid w:val="00FB27CD"/>
    <w:rsid w:val="00FB3893"/>
    <w:rsid w:val="00FB5C34"/>
    <w:rsid w:val="00FB6B25"/>
    <w:rsid w:val="00FC3753"/>
    <w:rsid w:val="00FC4022"/>
    <w:rsid w:val="00FC5D3B"/>
    <w:rsid w:val="00FD1598"/>
    <w:rsid w:val="00FD285D"/>
    <w:rsid w:val="00FD2DEC"/>
    <w:rsid w:val="00FE3C99"/>
    <w:rsid w:val="00FE3EB4"/>
    <w:rsid w:val="00FE59E3"/>
    <w:rsid w:val="00FF4ED6"/>
    <w:rsid w:val="00FF607C"/>
    <w:rsid w:val="017E5E48"/>
    <w:rsid w:val="019D73AC"/>
    <w:rsid w:val="021639A4"/>
    <w:rsid w:val="029871EF"/>
    <w:rsid w:val="02A301E7"/>
    <w:rsid w:val="02F73FA3"/>
    <w:rsid w:val="03092820"/>
    <w:rsid w:val="03815D6A"/>
    <w:rsid w:val="039A00A9"/>
    <w:rsid w:val="04654B65"/>
    <w:rsid w:val="04DE4111"/>
    <w:rsid w:val="04E92D10"/>
    <w:rsid w:val="04ED41A7"/>
    <w:rsid w:val="05107C5E"/>
    <w:rsid w:val="056B0738"/>
    <w:rsid w:val="05D275C1"/>
    <w:rsid w:val="05DC2034"/>
    <w:rsid w:val="05ED01D7"/>
    <w:rsid w:val="06343A1E"/>
    <w:rsid w:val="06A23CB0"/>
    <w:rsid w:val="06B37DBB"/>
    <w:rsid w:val="06F90F1D"/>
    <w:rsid w:val="07380934"/>
    <w:rsid w:val="07DD5156"/>
    <w:rsid w:val="08391B10"/>
    <w:rsid w:val="08953153"/>
    <w:rsid w:val="09692B4C"/>
    <w:rsid w:val="0A1E2A4B"/>
    <w:rsid w:val="0A222B45"/>
    <w:rsid w:val="0AAC0660"/>
    <w:rsid w:val="0B572427"/>
    <w:rsid w:val="0B6A4138"/>
    <w:rsid w:val="0BD639B6"/>
    <w:rsid w:val="0BDC6D23"/>
    <w:rsid w:val="0BEB65B0"/>
    <w:rsid w:val="0C3A723F"/>
    <w:rsid w:val="0C3C5A14"/>
    <w:rsid w:val="0CB124F0"/>
    <w:rsid w:val="0CBA5453"/>
    <w:rsid w:val="0DCE08EE"/>
    <w:rsid w:val="0E686877"/>
    <w:rsid w:val="0E7B27CA"/>
    <w:rsid w:val="0F474DFC"/>
    <w:rsid w:val="0F707B66"/>
    <w:rsid w:val="0F9D4A1B"/>
    <w:rsid w:val="0FCD17DE"/>
    <w:rsid w:val="0FDF2F6F"/>
    <w:rsid w:val="10E51943"/>
    <w:rsid w:val="11074842"/>
    <w:rsid w:val="110A4333"/>
    <w:rsid w:val="11D615BD"/>
    <w:rsid w:val="11E37EC2"/>
    <w:rsid w:val="12761767"/>
    <w:rsid w:val="151B65FC"/>
    <w:rsid w:val="16323581"/>
    <w:rsid w:val="16354130"/>
    <w:rsid w:val="16777D74"/>
    <w:rsid w:val="17525D55"/>
    <w:rsid w:val="17AE3C6A"/>
    <w:rsid w:val="184620F4"/>
    <w:rsid w:val="187C31ED"/>
    <w:rsid w:val="18C94AD3"/>
    <w:rsid w:val="19761ABB"/>
    <w:rsid w:val="1A33012A"/>
    <w:rsid w:val="1A587196"/>
    <w:rsid w:val="1BDA08CD"/>
    <w:rsid w:val="1BE614F8"/>
    <w:rsid w:val="1C580648"/>
    <w:rsid w:val="1DC51D0D"/>
    <w:rsid w:val="1DCA1B0D"/>
    <w:rsid w:val="1E0678EB"/>
    <w:rsid w:val="1E6202E8"/>
    <w:rsid w:val="1E8D4E2A"/>
    <w:rsid w:val="1EAB0F00"/>
    <w:rsid w:val="1FBC5A04"/>
    <w:rsid w:val="20237D8E"/>
    <w:rsid w:val="2047360E"/>
    <w:rsid w:val="20805AA7"/>
    <w:rsid w:val="210D4A0C"/>
    <w:rsid w:val="2131376A"/>
    <w:rsid w:val="21385272"/>
    <w:rsid w:val="22680EE9"/>
    <w:rsid w:val="22A939AB"/>
    <w:rsid w:val="2315460F"/>
    <w:rsid w:val="232C638A"/>
    <w:rsid w:val="24A65CC9"/>
    <w:rsid w:val="255C237C"/>
    <w:rsid w:val="257B0F03"/>
    <w:rsid w:val="259C0F90"/>
    <w:rsid w:val="263010DE"/>
    <w:rsid w:val="26D5342B"/>
    <w:rsid w:val="272F754B"/>
    <w:rsid w:val="27D1327C"/>
    <w:rsid w:val="29C63738"/>
    <w:rsid w:val="29C93B62"/>
    <w:rsid w:val="29D25D8B"/>
    <w:rsid w:val="2AB30B2F"/>
    <w:rsid w:val="2B1E480B"/>
    <w:rsid w:val="2BFA4D3E"/>
    <w:rsid w:val="2C325146"/>
    <w:rsid w:val="2C712057"/>
    <w:rsid w:val="2CB30ABA"/>
    <w:rsid w:val="2CFA2729"/>
    <w:rsid w:val="2D55181C"/>
    <w:rsid w:val="2EAD7495"/>
    <w:rsid w:val="2F7D46F4"/>
    <w:rsid w:val="2F8F217B"/>
    <w:rsid w:val="2FCB3246"/>
    <w:rsid w:val="30DF67EA"/>
    <w:rsid w:val="30FE2930"/>
    <w:rsid w:val="3103697D"/>
    <w:rsid w:val="316311C9"/>
    <w:rsid w:val="31D9592F"/>
    <w:rsid w:val="321176C6"/>
    <w:rsid w:val="32320E39"/>
    <w:rsid w:val="327D7852"/>
    <w:rsid w:val="32A0615E"/>
    <w:rsid w:val="32A41A99"/>
    <w:rsid w:val="32C72463"/>
    <w:rsid w:val="32D974CB"/>
    <w:rsid w:val="33A255D3"/>
    <w:rsid w:val="349872D1"/>
    <w:rsid w:val="349A06B7"/>
    <w:rsid w:val="35693CF6"/>
    <w:rsid w:val="35CB0700"/>
    <w:rsid w:val="36065BEC"/>
    <w:rsid w:val="36521392"/>
    <w:rsid w:val="369848CD"/>
    <w:rsid w:val="36CC48DB"/>
    <w:rsid w:val="37353608"/>
    <w:rsid w:val="3919765E"/>
    <w:rsid w:val="39865FD6"/>
    <w:rsid w:val="39FF3880"/>
    <w:rsid w:val="3B715068"/>
    <w:rsid w:val="3C223BB4"/>
    <w:rsid w:val="3C795161"/>
    <w:rsid w:val="3CEE3477"/>
    <w:rsid w:val="3D0D178C"/>
    <w:rsid w:val="3D3C4731"/>
    <w:rsid w:val="3D9A0DA3"/>
    <w:rsid w:val="3D9DDD33"/>
    <w:rsid w:val="3DB039E8"/>
    <w:rsid w:val="3EB22CFA"/>
    <w:rsid w:val="3EDC2EE8"/>
    <w:rsid w:val="42470693"/>
    <w:rsid w:val="42C04212"/>
    <w:rsid w:val="437177A7"/>
    <w:rsid w:val="43BB30E7"/>
    <w:rsid w:val="445350CD"/>
    <w:rsid w:val="45404F35"/>
    <w:rsid w:val="4577128F"/>
    <w:rsid w:val="45ED269B"/>
    <w:rsid w:val="45FB3C6E"/>
    <w:rsid w:val="46501710"/>
    <w:rsid w:val="469F09AF"/>
    <w:rsid w:val="46B3312C"/>
    <w:rsid w:val="46E52E4E"/>
    <w:rsid w:val="472F5BA4"/>
    <w:rsid w:val="474B654E"/>
    <w:rsid w:val="48323121"/>
    <w:rsid w:val="489A776F"/>
    <w:rsid w:val="489F3364"/>
    <w:rsid w:val="48AD4D18"/>
    <w:rsid w:val="49AB69FF"/>
    <w:rsid w:val="49C11AD5"/>
    <w:rsid w:val="49F24390"/>
    <w:rsid w:val="4A5256F6"/>
    <w:rsid w:val="4ACC7988"/>
    <w:rsid w:val="4B032E66"/>
    <w:rsid w:val="4B8360DE"/>
    <w:rsid w:val="4B8464B4"/>
    <w:rsid w:val="4B9F32EE"/>
    <w:rsid w:val="4C5271FE"/>
    <w:rsid w:val="4D1675E0"/>
    <w:rsid w:val="4D9A1FBF"/>
    <w:rsid w:val="4DAC0C96"/>
    <w:rsid w:val="4EC50DE8"/>
    <w:rsid w:val="4F337FD5"/>
    <w:rsid w:val="4F626994"/>
    <w:rsid w:val="4F710C54"/>
    <w:rsid w:val="4F7725B8"/>
    <w:rsid w:val="4F9F263E"/>
    <w:rsid w:val="4FDD6193"/>
    <w:rsid w:val="502671EF"/>
    <w:rsid w:val="514E04C0"/>
    <w:rsid w:val="51596680"/>
    <w:rsid w:val="51C92E73"/>
    <w:rsid w:val="522B287D"/>
    <w:rsid w:val="52EE2601"/>
    <w:rsid w:val="533D65C8"/>
    <w:rsid w:val="53E24FC2"/>
    <w:rsid w:val="54A07538"/>
    <w:rsid w:val="554C0043"/>
    <w:rsid w:val="555451DE"/>
    <w:rsid w:val="55A51501"/>
    <w:rsid w:val="5628013A"/>
    <w:rsid w:val="56293EE0"/>
    <w:rsid w:val="569357FD"/>
    <w:rsid w:val="56BC2FA6"/>
    <w:rsid w:val="57F5009B"/>
    <w:rsid w:val="583B59E4"/>
    <w:rsid w:val="58422A40"/>
    <w:rsid w:val="5850446E"/>
    <w:rsid w:val="58841BB4"/>
    <w:rsid w:val="58871392"/>
    <w:rsid w:val="588E0BC4"/>
    <w:rsid w:val="58B95CD8"/>
    <w:rsid w:val="58BE6132"/>
    <w:rsid w:val="58F033DB"/>
    <w:rsid w:val="58FC1114"/>
    <w:rsid w:val="590B3D71"/>
    <w:rsid w:val="59564D72"/>
    <w:rsid w:val="59B57F21"/>
    <w:rsid w:val="59CB4439"/>
    <w:rsid w:val="59DF0151"/>
    <w:rsid w:val="5A34481E"/>
    <w:rsid w:val="5AD00DCE"/>
    <w:rsid w:val="5B2C1F7E"/>
    <w:rsid w:val="5CDFFC3B"/>
    <w:rsid w:val="5DBF70F0"/>
    <w:rsid w:val="5E542206"/>
    <w:rsid w:val="5E8720EC"/>
    <w:rsid w:val="5F6F677A"/>
    <w:rsid w:val="5FEF1695"/>
    <w:rsid w:val="5FF7F380"/>
    <w:rsid w:val="600A4D82"/>
    <w:rsid w:val="602B2C70"/>
    <w:rsid w:val="6084773B"/>
    <w:rsid w:val="60895F08"/>
    <w:rsid w:val="61296A5B"/>
    <w:rsid w:val="6168457C"/>
    <w:rsid w:val="617FE4BC"/>
    <w:rsid w:val="61E35168"/>
    <w:rsid w:val="620D1EBF"/>
    <w:rsid w:val="623B7475"/>
    <w:rsid w:val="62854B94"/>
    <w:rsid w:val="629C2E17"/>
    <w:rsid w:val="62BC3BF5"/>
    <w:rsid w:val="63AFC111"/>
    <w:rsid w:val="64332298"/>
    <w:rsid w:val="64C84176"/>
    <w:rsid w:val="64CA7BAA"/>
    <w:rsid w:val="65203CED"/>
    <w:rsid w:val="65364FD8"/>
    <w:rsid w:val="65385EEE"/>
    <w:rsid w:val="662D17CA"/>
    <w:rsid w:val="66E50D45"/>
    <w:rsid w:val="677B034E"/>
    <w:rsid w:val="67BA0E3C"/>
    <w:rsid w:val="67BD092C"/>
    <w:rsid w:val="686B6A21"/>
    <w:rsid w:val="695E303D"/>
    <w:rsid w:val="697B3677"/>
    <w:rsid w:val="6A040A94"/>
    <w:rsid w:val="6A897FCE"/>
    <w:rsid w:val="6B9D4CFC"/>
    <w:rsid w:val="6BD869D1"/>
    <w:rsid w:val="6BFA7C2D"/>
    <w:rsid w:val="6C59150B"/>
    <w:rsid w:val="6C756DC6"/>
    <w:rsid w:val="6C8D4D71"/>
    <w:rsid w:val="6CDC2D02"/>
    <w:rsid w:val="6D7E5616"/>
    <w:rsid w:val="6DFD5140"/>
    <w:rsid w:val="6E0A177A"/>
    <w:rsid w:val="6E1868BC"/>
    <w:rsid w:val="6E606731"/>
    <w:rsid w:val="6F944668"/>
    <w:rsid w:val="70057314"/>
    <w:rsid w:val="700C2451"/>
    <w:rsid w:val="70566C4F"/>
    <w:rsid w:val="70710506"/>
    <w:rsid w:val="70F51137"/>
    <w:rsid w:val="713E45FD"/>
    <w:rsid w:val="717C3606"/>
    <w:rsid w:val="71F959CF"/>
    <w:rsid w:val="72180664"/>
    <w:rsid w:val="721B4BCD"/>
    <w:rsid w:val="72521692"/>
    <w:rsid w:val="731F242B"/>
    <w:rsid w:val="735579CD"/>
    <w:rsid w:val="73A95BAE"/>
    <w:rsid w:val="73AF3484"/>
    <w:rsid w:val="750029C3"/>
    <w:rsid w:val="75A632A6"/>
    <w:rsid w:val="760D4A2F"/>
    <w:rsid w:val="761958C7"/>
    <w:rsid w:val="766B09DE"/>
    <w:rsid w:val="76A01802"/>
    <w:rsid w:val="77300DB5"/>
    <w:rsid w:val="7745003B"/>
    <w:rsid w:val="776FC399"/>
    <w:rsid w:val="788C05D2"/>
    <w:rsid w:val="789F570F"/>
    <w:rsid w:val="79314CD6"/>
    <w:rsid w:val="795A13A4"/>
    <w:rsid w:val="79863274"/>
    <w:rsid w:val="7A545120"/>
    <w:rsid w:val="7AEC35AA"/>
    <w:rsid w:val="7B332024"/>
    <w:rsid w:val="7B9B2C45"/>
    <w:rsid w:val="7CF944C4"/>
    <w:rsid w:val="7E800466"/>
    <w:rsid w:val="7E813F71"/>
    <w:rsid w:val="7F013C37"/>
    <w:rsid w:val="7FB7DB52"/>
    <w:rsid w:val="7FF4EE48"/>
    <w:rsid w:val="D6EF957B"/>
    <w:rsid w:val="DBDE4468"/>
    <w:rsid w:val="DBEE1639"/>
    <w:rsid w:val="DFCD402B"/>
    <w:rsid w:val="DFDBCA90"/>
    <w:rsid w:val="EBFA2AC6"/>
    <w:rsid w:val="F171E682"/>
    <w:rsid w:val="F8FBB26C"/>
    <w:rsid w:val="FDFD0E02"/>
    <w:rsid w:val="FFCF0900"/>
    <w:rsid w:val="FFFCA761"/>
    <w:rsid w:val="FFFEC5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jc w:val="center"/>
      <w:outlineLvl w:val="0"/>
    </w:pPr>
    <w:rPr>
      <w:rFonts w:ascii="Times New Roman" w:hAnsi="Times New Roman" w:eastAsia="黑体" w:cs="Times New Roman"/>
      <w:kern w:val="44"/>
      <w:sz w:val="32"/>
      <w:szCs w:val="24"/>
    </w:rPr>
  </w:style>
  <w:style w:type="paragraph" w:styleId="3">
    <w:name w:val="heading 2"/>
    <w:basedOn w:val="1"/>
    <w:next w:val="1"/>
    <w:link w:val="19"/>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rPr>
      <w:rFonts w:ascii="Times New Roman" w:hAnsi="Times New Roman" w:eastAsia="宋体" w:cs="Times New Roman"/>
      <w:szCs w:val="24"/>
    </w:rPr>
  </w:style>
  <w:style w:type="paragraph" w:styleId="5">
    <w:name w:val="Plain Text"/>
    <w:basedOn w:val="1"/>
    <w:link w:val="21"/>
    <w:qFormat/>
    <w:uiPriority w:val="0"/>
    <w:rPr>
      <w:rFonts w:ascii="宋体" w:hAnsi="Courier New" w:eastAsia="宋体" w:cs="Courier New"/>
      <w:szCs w:val="21"/>
    </w:r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Times New Roman" w:hAnsi="Times New Roman" w:eastAsia="宋体" w:cs="Times New Roman"/>
      <w:szCs w:val="24"/>
    </w:rPr>
  </w:style>
  <w:style w:type="paragraph" w:styleId="10">
    <w:name w:val="Title"/>
    <w:basedOn w:val="1"/>
    <w:next w:val="1"/>
    <w:link w:val="22"/>
    <w:qFormat/>
    <w:uiPriority w:val="0"/>
    <w:pPr>
      <w:spacing w:before="240" w:after="60"/>
      <w:jc w:val="center"/>
      <w:outlineLvl w:val="0"/>
    </w:pPr>
    <w:rPr>
      <w:rFonts w:ascii="Cambria" w:hAnsi="Cambria" w:eastAsia="仿宋_GB2312" w:cs="Times New Roman"/>
      <w:b/>
      <w:bCs/>
      <w:sz w:val="32"/>
      <w:szCs w:val="32"/>
      <w:lang w:eastAsia="en-U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paragraph" w:styleId="15">
    <w:name w:val="List Paragraph"/>
    <w:basedOn w:val="1"/>
    <w:qFormat/>
    <w:uiPriority w:val="34"/>
    <w:pPr>
      <w:ind w:firstLine="420" w:firstLineChars="200"/>
    </w:pPr>
  </w:style>
  <w:style w:type="character" w:customStyle="1" w:styleId="16">
    <w:name w:val="页眉 字符"/>
    <w:basedOn w:val="13"/>
    <w:link w:val="8"/>
    <w:qFormat/>
    <w:uiPriority w:val="99"/>
    <w:rPr>
      <w:kern w:val="2"/>
      <w:sz w:val="18"/>
      <w:szCs w:val="18"/>
    </w:rPr>
  </w:style>
  <w:style w:type="character" w:customStyle="1" w:styleId="17">
    <w:name w:val="页脚 字符"/>
    <w:basedOn w:val="13"/>
    <w:link w:val="7"/>
    <w:qFormat/>
    <w:uiPriority w:val="99"/>
    <w:rPr>
      <w:kern w:val="2"/>
      <w:sz w:val="18"/>
      <w:szCs w:val="18"/>
    </w:rPr>
  </w:style>
  <w:style w:type="character" w:customStyle="1" w:styleId="18">
    <w:name w:val="标题 1 字符"/>
    <w:basedOn w:val="13"/>
    <w:link w:val="2"/>
    <w:qFormat/>
    <w:uiPriority w:val="0"/>
    <w:rPr>
      <w:rFonts w:ascii="Times New Roman" w:hAnsi="Times New Roman" w:eastAsia="黑体" w:cs="Times New Roman"/>
      <w:kern w:val="44"/>
      <w:sz w:val="32"/>
      <w:szCs w:val="24"/>
    </w:rPr>
  </w:style>
  <w:style w:type="character" w:customStyle="1" w:styleId="19">
    <w:name w:val="标题 2 字符"/>
    <w:basedOn w:val="13"/>
    <w:link w:val="3"/>
    <w:qFormat/>
    <w:uiPriority w:val="0"/>
    <w:rPr>
      <w:rFonts w:ascii="宋体" w:hAnsi="宋体" w:eastAsia="宋体" w:cs="Times New Roman"/>
      <w:b/>
      <w:bCs/>
      <w:sz w:val="36"/>
      <w:szCs w:val="36"/>
    </w:rPr>
  </w:style>
  <w:style w:type="character" w:customStyle="1" w:styleId="20">
    <w:name w:val="批注文字 字符"/>
    <w:basedOn w:val="13"/>
    <w:link w:val="4"/>
    <w:qFormat/>
    <w:uiPriority w:val="0"/>
    <w:rPr>
      <w:rFonts w:ascii="Times New Roman" w:hAnsi="Times New Roman" w:eastAsia="宋体" w:cs="Times New Roman"/>
      <w:kern w:val="2"/>
      <w:sz w:val="21"/>
      <w:szCs w:val="24"/>
    </w:rPr>
  </w:style>
  <w:style w:type="character" w:customStyle="1" w:styleId="21">
    <w:name w:val="纯文本 字符"/>
    <w:basedOn w:val="13"/>
    <w:link w:val="5"/>
    <w:qFormat/>
    <w:uiPriority w:val="0"/>
    <w:rPr>
      <w:rFonts w:ascii="宋体" w:hAnsi="Courier New" w:eastAsia="宋体" w:cs="Courier New"/>
      <w:kern w:val="2"/>
      <w:sz w:val="21"/>
      <w:szCs w:val="21"/>
    </w:rPr>
  </w:style>
  <w:style w:type="character" w:customStyle="1" w:styleId="22">
    <w:name w:val="标题 字符"/>
    <w:basedOn w:val="13"/>
    <w:link w:val="10"/>
    <w:qFormat/>
    <w:uiPriority w:val="0"/>
    <w:rPr>
      <w:rFonts w:ascii="Cambria" w:hAnsi="Cambria" w:eastAsia="仿宋_GB2312" w:cs="Times New Roman"/>
      <w:b/>
      <w:bCs/>
      <w:kern w:val="2"/>
      <w:sz w:val="32"/>
      <w:szCs w:val="32"/>
      <w:lang w:eastAsia="en-US"/>
    </w:rPr>
  </w:style>
  <w:style w:type="paragraph" w:customStyle="1" w:styleId="23">
    <w:name w:val="WPSOffice手动目录 1"/>
    <w:qFormat/>
    <w:uiPriority w:val="0"/>
    <w:rPr>
      <w:rFonts w:ascii="Times New Roman" w:hAnsi="Times New Roman" w:eastAsia="宋体" w:cs="Times New Roman"/>
      <w:lang w:val="en-US" w:eastAsia="zh-CN" w:bidi="ar-SA"/>
    </w:rPr>
  </w:style>
  <w:style w:type="table" w:customStyle="1" w:styleId="24">
    <w:name w:val="TableGrid"/>
    <w:qFormat/>
    <w:uiPriority w:val="0"/>
    <w:rPr>
      <w:sz w:val="21"/>
    </w:rPr>
    <w:tblPr>
      <w:tblCellMar>
        <w:top w:w="0" w:type="dxa"/>
        <w:left w:w="0" w:type="dxa"/>
        <w:bottom w:w="0" w:type="dxa"/>
        <w:right w:w="0" w:type="dxa"/>
      </w:tblCellMar>
    </w:tblPr>
  </w:style>
  <w:style w:type="character" w:customStyle="1" w:styleId="25">
    <w:name w:val="批注框文本 字符"/>
    <w:basedOn w:val="13"/>
    <w:link w:val="6"/>
    <w:semiHidden/>
    <w:qFormat/>
    <w:uiPriority w:val="99"/>
    <w:rPr>
      <w:rFonts w:asciiTheme="minorHAnsi" w:hAnsiTheme="minorHAnsi" w:eastAsiaTheme="minorEastAsia" w:cstheme="minorBidi"/>
      <w:kern w:val="2"/>
      <w:sz w:val="18"/>
      <w:szCs w:val="18"/>
    </w:rPr>
  </w:style>
  <w:style w:type="character" w:customStyle="1" w:styleId="26">
    <w:name w:val="标题 1 字符1"/>
    <w:qFormat/>
    <w:uiPriority w:val="0"/>
    <w:rPr>
      <w:rFonts w:ascii="Times New Roman" w:hAnsi="Times New Roman"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336D-2E56-4C13-9DC0-63BE9F31C0EC}">
  <ds:schemaRefs/>
</ds:datastoreItem>
</file>

<file path=docProps/app.xml><?xml version="1.0" encoding="utf-8"?>
<Properties xmlns="http://schemas.openxmlformats.org/officeDocument/2006/extended-properties" xmlns:vt="http://schemas.openxmlformats.org/officeDocument/2006/docPropsVTypes">
  <Company>DoubleOX</Company>
  <Pages>19</Pages>
  <Words>5893</Words>
  <Characters>5987</Characters>
  <Lines>57</Lines>
  <Paragraphs>16</Paragraphs>
  <TotalTime>29</TotalTime>
  <ScaleCrop>false</ScaleCrop>
  <LinksUpToDate>false</LinksUpToDate>
  <CharactersWithSpaces>7092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2024-03-29T19:31:00Z</dcterms:created>
  <dc:creator>mgh</dc:creator>
  <cp:lastModifiedBy>LTGX03</cp:lastModifiedBy>
  <cp:lastPrinted>2024-03-29T20:49:00Z</cp:lastPrinted>
  <dcterms:modified xsi:type="dcterms:W3CDTF">2024-04-01T05:33:08Z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08B7F73310B147DB8EF4F9A8B816E560</vt:lpwstr>
  </property>
</Properties>
</file>