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06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关于印发《2024年全省人力资源社会保障系统春运工作组织保障方案》的通知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各市人力资源社会保障局，</w:t>
      </w:r>
      <w:r>
        <w:rPr>
          <w:rFonts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厅有关处室</w:t>
      </w:r>
      <w:r>
        <w:rPr>
          <w:rFonts w:hint="default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、直属</w:t>
      </w:r>
      <w:r>
        <w:rPr>
          <w:rFonts w:hint="eastAsia" w:ascii="仿宋_GB2312" w:hAnsi="黑体" w:eastAsia="仿宋_GB2312" w:cs="黑体"/>
          <w:color w:val="000000" w:themeColor="text1"/>
          <w14:textFill>
            <w14:solidFill>
              <w14:schemeClr w14:val="tx1"/>
            </w14:solidFill>
          </w14:textFill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现将《2024年全省人力资源社会保障系统春运工作组织保障方案》印发给你们，请结合实际抓好贯彻落实。组织实施过程中的重大问题，请及时报告。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为加强工作联系，请各市确定1名联络员，联络员名单（姓名、单位、职务、电话）请于1月29日17:00前报送</w:t>
      </w:r>
      <w:r>
        <w:rPr>
          <w:rFonts w:hint="default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省厅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，相关工作总结请于3月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日前报送。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联系人：张传贵，马元志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电 </w:t>
      </w:r>
      <w:r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话：0531—5178</w:t>
      </w:r>
      <w:r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8354</w:t>
      </w: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，5178</w:t>
      </w:r>
      <w:r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8615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邮  箱：sdrsjyfp@shandong.cn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  <w:rPr>
          <w:rFonts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                  山东省人力资源和社会保障厅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2024年1月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（联系单位:省公共就业和人才服务中心就业服务处）</w:t>
      </w:r>
    </w:p>
    <w:p>
      <w:pPr>
        <w:spacing w:before="0" w:beforeLines="0" w:line="580" w:lineRule="exac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2024年全省人力资源社会保障系统</w:t>
      </w: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春运工作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组织保障方案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2024年春运自1月26日开始至3月5日结束，共计40天。本次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春运期间，预计全省旅客发送量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4793万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人次，同比增长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28.5%。按照</w:t>
      </w:r>
      <w:r>
        <w:rPr>
          <w:rFonts w:hint="default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国家和省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关于做好元旦春节期间有关工作的部署安排，根据省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春运工作机制办公室《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2024年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全省春运工作组织保障方案》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（鲁春运机制办〔202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〕1号）和《关于组织开展2024年全省春运安全检查工作的通知》（鲁春运机制办〔202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号）等文件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为统筹做好全省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人力资源社会保障部门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2024年春运工作，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全力配合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完成全省春运任务，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结合工作职责，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制定本方案。</w:t>
      </w:r>
    </w:p>
    <w:p>
      <w:pPr>
        <w:overflowPunct w:val="0"/>
        <w:spacing w:before="0" w:beforeLines="0" w:line="580" w:lineRule="exact"/>
        <w:ind w:firstLine="632" w:firstLine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一、总体要求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2024年是中华人民共和国成立75周年，是实现“十四五”规划目标任务的关键一年，做好春运工作意义重大。各级人力资源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社会保障部门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要以习近平新时代中国特色社会主义思想为指导，完整、准确、全面贯彻新发展理念，坚决落实党中央、国务院决策部署和省委、省政府工作要求，坚持人民至上、生命至上，切实提高政治站位，进一步增强做好春运工作使命感和责任感，以“平安春运、便捷春运、温馨春运”为目标，以最大能力、最实举措、最佳状态、最优服务，统筹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做好“点对点”运输、返岗复工等就业保障工作，促进务工人员有序流动，加强农民工就业服务，</w:t>
      </w:r>
      <w:r>
        <w:rPr>
          <w:rFonts w:hint="eastAsia"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确保圆满完成人力资源社会保障部门春运任务</w:t>
      </w:r>
      <w:r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spacing w:before="0" w:beforeLines="0" w:line="580" w:lineRule="exac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   二、主要任务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（一）引导务工人员错峰有序出行。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鼓励指导各类规模以上企业、用工量大的企业根据生产经营实际和职工意愿，科学确定春节放假、节后开复工时间。鼓励各用人单位结合带薪年休假等制度落实，安排职工在除夕休息</w:t>
      </w:r>
      <w:r>
        <w:rPr>
          <w:rFonts w:hint="eastAsia" w:ascii="仿宋_GB2312" w:hAnsi="仿宋_GB2312" w:eastAsia="仿宋_GB2312" w:cs="仿宋_GB2312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引导农民工等外出务工人员统筹安排好工作和休假，合理做好返乡返岗安排，安全有序错峰出行。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（二）倡导企业稳岗留工调剂用工。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鼓励支持重点产业链供应链企业通过发放“留岗红包”“过年礼包”等方式稳岗留工，及时落实工资、休假待遇等保障措施，引导外省外来务工人员就地过年。依托企业急需紧缺用工服务平台，全力保障企业用工需求，支持阶段性用工需求量较大的企业与生产不饱和、有富余员工的企业开展用工余缺调剂。</w:t>
      </w:r>
    </w:p>
    <w:p>
      <w:pPr>
        <w:pStyle w:val="2"/>
        <w:overflowPunct w:val="0"/>
        <w:spacing w:before="0" w:beforeLines="0" w:line="580" w:lineRule="exact"/>
        <w:ind w:firstLine="632" w:firstLineChars="200"/>
        <w:rPr>
          <w:rFonts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（三）开展务工人员专项服务活动。</w:t>
      </w:r>
      <w:r>
        <w:rPr>
          <w:rFonts w:hint="eastAsia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结合2024年“春风行动”“春暖行动”</w:t>
      </w:r>
      <w:r>
        <w:rPr>
          <w:rFonts w:hint="eastAsia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就业援助月、防止返贫攻坚行动</w:t>
      </w:r>
      <w:r>
        <w:rPr>
          <w:rFonts w:hint="eastAsia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等专项服务活动，聚焦拟外出务工农民工或主动留岗务工人员等重点群体需求，发挥</w:t>
      </w:r>
      <w:r>
        <w:rPr>
          <w:rFonts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劳务品牌、乡村振兴劳务基地、</w:t>
      </w:r>
      <w:r>
        <w:rPr>
          <w:rFonts w:hint="eastAsia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社区微业</w:t>
      </w:r>
      <w:r>
        <w:rPr>
          <w:rFonts w:hint="eastAsia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家门口</w:t>
      </w:r>
      <w:r>
        <w:rPr>
          <w:rFonts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就业服务站</w:t>
      </w:r>
      <w:r>
        <w:rPr>
          <w:rFonts w:hint="eastAsia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零工市场等</w:t>
      </w:r>
      <w:r>
        <w:rPr>
          <w:rFonts w:hint="eastAsia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作用</w:t>
      </w:r>
      <w:r>
        <w:rPr>
          <w:rFonts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在全省范围内开展形式多样的送政策、送岗位、送培训、送维权等就业服务活动。</w:t>
      </w:r>
    </w:p>
    <w:p>
      <w:pPr>
        <w:wordWrap w:val="0"/>
        <w:spacing w:before="0" w:beforeLines="0" w:line="580" w:lineRule="exact"/>
        <w:ind w:firstLine="632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（四）保障务工人员有序返乡返岗。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加大出行服务保障力度，及时协调当地春运工作机制办公室，组织运力，提升运输服务和保障能力。重点面向成规模（50人以上）、成批次（相同或相邻目的地）返乡返岗务工人员，为有集体运输需求的外出务工人员提供“点对点”运输服务。开通全省统一的务工人员返乡返岗“点对点”服务平台（网址：https://sdggjyrcfw.cn/或微信搜索山东公共就业人才服务公众号），支持有成规模、成批次返乡返岗需求的企业在线填报员工出行需求信息。各地要指定专人负责，定期查看，做好信息汇总核实，协调做好运力保障。</w:t>
      </w:r>
    </w:p>
    <w:p>
      <w:pPr>
        <w:overflowPunct w:val="0"/>
        <w:spacing w:before="0" w:beforeLines="0" w:line="580" w:lineRule="exact"/>
        <w:ind w:firstLine="632" w:firstLineChars="200"/>
        <w:rPr>
          <w:rFonts w:ascii="黑体" w:hAnsi="宋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宋体" w:eastAsia="黑体" w:cs="黑体"/>
          <w:color w:val="000000" w:themeColor="text1"/>
          <w:lang w:bidi="ar"/>
          <w14:textFill>
            <w14:solidFill>
              <w14:schemeClr w14:val="tx1"/>
            </w14:solidFill>
          </w14:textFill>
        </w:rPr>
        <w:t>组织保障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（一）健全组织机制。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按照国家和省春运工作有关要求，建立全省人力资源社会保障系统2024年春运工作机制（成员名单见附件），</w:t>
      </w:r>
      <w:r>
        <w:rPr>
          <w:rFonts w:hint="eastAsia" w:ascii="仿宋_GB2312" w:hAnsi="仿宋_GB2312" w:eastAsia="仿宋_GB2312" w:cs="仿宋_GB2312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>立足人力资源社会保障部门职责，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加强对全省返乡返岗务工人员“点对点”引导服务工作的组织领导。各市人力资源社会保障部门要结合本地实际，建立相应工作机制，制定组织保障方案，形成全省“一盘棋”的工作格局。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（二）加强部门协作。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加强与交通运输、卫生健康等部门定期沟通、信息共享，畅通联络渠道，及时掌握并协调解决务工人员出行中遇到的突出问题。落实春运期间值班值守制度，对务工人员返乡返岗信息数据加强分析应用、实行定期报告。</w:t>
      </w:r>
    </w:p>
    <w:p>
      <w:pPr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（三）做好宣传引导。</w:t>
      </w: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各地要充分利用电视广播、部门网站、就业信息平台等渠道，采用简明易懂、喜闻乐见的方式，大力宣传“点对点”返乡返岗工作，讲好春运故事，加强春运舆情监测，</w:t>
      </w:r>
      <w:r>
        <w:rPr>
          <w:rFonts w:hint="eastAsia" w:ascii="仿宋_GB2312" w:hAnsi="Calibri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动员发动社会力量为务工人员</w:t>
      </w:r>
      <w:r>
        <w:rPr>
          <w:rFonts w:hint="eastAsia" w:ascii="仿宋_GB2312" w:hAnsi="楷体" w:eastAsia="仿宋_GB2312" w:cs="黑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返乡返岗</w:t>
      </w:r>
      <w:r>
        <w:rPr>
          <w:rFonts w:hint="eastAsia" w:ascii="仿宋_GB2312" w:hAnsi="Calibri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提供帮助，</w:t>
      </w: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加大典型经验和做法的宣传力度，营造良好社会氛围。</w:t>
      </w:r>
    </w:p>
    <w:p>
      <w:pPr>
        <w:overflowPunct w:val="0"/>
        <w:spacing w:before="0" w:beforeLines="0" w:line="580" w:lineRule="exact"/>
        <w:ind w:firstLine="1106" w:firstLineChars="35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附件：全省人力资源社会保障系统2024年春运工作机制</w:t>
      </w:r>
    </w:p>
    <w:p>
      <w:pPr>
        <w:overflowPunct w:val="0"/>
        <w:spacing w:before="0" w:beforeLines="0" w:line="580" w:lineRule="exact"/>
        <w:ind w:firstLine="790" w:firstLineChars="250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 成员名单</w:t>
      </w:r>
    </w:p>
    <w:p>
      <w:pPr>
        <w:overflowPunct w:val="0"/>
        <w:spacing w:before="0" w:beforeLines="0" w:line="580" w:lineRule="exact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spacing w:before="0" w:beforeLines="0" w:line="580" w:lineRule="exact"/>
        <w:rPr>
          <w:rFonts w:ascii="黑体" w:hAnsi="宋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lang w:bidi="ar"/>
          <w14:textFill>
            <w14:solidFill>
              <w14:schemeClr w14:val="tx1"/>
            </w14:solidFill>
          </w14:textFill>
        </w:rPr>
        <w:t>附 件</w:t>
      </w: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全省人力资源社会保障系统</w:t>
      </w:r>
    </w:p>
    <w:p>
      <w:pPr>
        <w:overflowPunct w:val="0"/>
        <w:spacing w:before="0" w:beforeLines="0"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2024年春运工作机制成员名单</w:t>
      </w:r>
    </w:p>
    <w:p>
      <w:pPr>
        <w:overflowPunct w:val="0"/>
        <w:spacing w:before="0" w:beforeLines="0" w:line="580" w:lineRule="exac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overflowPunct w:val="0"/>
        <w:spacing w:before="0" w:beforeLines="0" w:beforeAutospacing="0" w:after="0" w:afterAutospacing="0" w:line="580" w:lineRule="exact"/>
        <w:ind w:firstLine="632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总召集人</w:t>
      </w:r>
    </w:p>
    <w:p>
      <w:pPr>
        <w:tabs>
          <w:tab w:val="left" w:pos="1968"/>
        </w:tabs>
        <w:spacing w:before="0" w:beforeLines="0" w:line="580" w:lineRule="exact"/>
        <w:ind w:firstLine="632" w:firstLineChars="200"/>
        <w:textAlignment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衣军强  省人力资源社会保障厅党组成员、副厅长</w:t>
      </w:r>
    </w:p>
    <w:p>
      <w:pPr>
        <w:pStyle w:val="8"/>
        <w:overflowPunct w:val="0"/>
        <w:spacing w:before="0" w:beforeLines="0" w:beforeAutospacing="0" w:after="0" w:afterAutospacing="0" w:line="580" w:lineRule="exact"/>
        <w:ind w:firstLine="632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召集人</w:t>
      </w:r>
    </w:p>
    <w:p>
      <w:pPr>
        <w:pStyle w:val="8"/>
        <w:overflowPunct w:val="0"/>
        <w:spacing w:before="0" w:beforeLines="0" w:beforeAutospacing="0" w:after="0" w:afterAutospacing="0" w:line="5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艳  省公共就业和人才服务中心副主任</w:t>
      </w:r>
    </w:p>
    <w:p>
      <w:pPr>
        <w:pStyle w:val="8"/>
        <w:overflowPunct w:val="0"/>
        <w:spacing w:before="0" w:beforeLines="0" w:beforeAutospacing="0" w:after="0" w:afterAutospacing="0" w:line="580" w:lineRule="exact"/>
        <w:ind w:firstLine="632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董廷杰  省人力资源社会保障厅就业促进处（农民工工作处）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        处长、一级调研员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徐可彬  省公共就业和人才服务中心就业失业监测处（统计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spacing w:val="-17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        信息处）二级调研员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张  波  省公共就业和人才服务中心就业服务处（高校毕业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spacing w:val="-17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          生就业服务处）处长</w:t>
      </w:r>
    </w:p>
    <w:p>
      <w:pPr>
        <w:overflowPunct w:val="0"/>
        <w:spacing w:before="0" w:beforeLines="0" w:line="580" w:lineRule="exact"/>
        <w:ind w:left="0" w:hanging="1264" w:hangingChars="400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戚燕群  </w:t>
      </w:r>
      <w:r>
        <w:rPr>
          <w:rFonts w:hint="eastAsia" w:ascii="仿宋_GB2312" w:hAnsi="仿宋_GB2312" w:eastAsia="仿宋_GB2312" w:cs="仿宋_GB2312"/>
          <w:color w:val="000000" w:themeColor="text1"/>
          <w:spacing w:val="-17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省公共就业和人才服务中心人力资源市场服务处处长</w:t>
      </w:r>
    </w:p>
    <w:p>
      <w:pPr>
        <w:overflowPunct w:val="0"/>
        <w:spacing w:before="0" w:beforeLines="0" w:line="580" w:lineRule="exact"/>
        <w:ind w:left="0" w:hanging="1236" w:hangingChars="391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孙希军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济南市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公共就业服务中心副主任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刘传华  青岛市人力资源和社会保障局副局长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吕红星  淄博市人力资源和社会保障局党组成员，市公共就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业和人才服务中心主任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汤国华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枣庄市公共就业和人才服务中心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主任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朱凤鸾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东营市公共就业和人才服务中心副主任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于  腾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烟台市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  <w:t>人力资源和社会保障局副局长</w:t>
      </w:r>
    </w:p>
    <w:p>
      <w:pPr>
        <w:overflowPunct w:val="0"/>
        <w:spacing w:before="0" w:beforeLines="0" w:line="580" w:lineRule="exact"/>
        <w:ind w:left="1896" w:leftChars="0" w:hanging="1896" w:hangingChars="6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潍坊市人力资源和社会保障局党组成员，市公共就业和人才服务中心主任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hanging="1264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任宪民  济宁市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党组成员，市公共就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hanging="1264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业和人才服务中心主任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  <w:t>元强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泰安市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  <w:t>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hanging="1896" w:hangingChars="6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-5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陈明霞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pacing w:val="-5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威海市人力资源和社会保障局党组成员、二级调研员</w:t>
      </w:r>
    </w:p>
    <w:bookmarkEnd w:id="0"/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hanging="1264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陈维江  日照市人力资源和社会保障局党组成员，市公共就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hanging="1264" w:hangingChars="400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业和人才服务中心主任</w:t>
      </w:r>
    </w:p>
    <w:p>
      <w:pPr>
        <w:overflowPunct w:val="0"/>
        <w:spacing w:before="0" w:beforeLines="0" w:line="580" w:lineRule="exact"/>
        <w:ind w:left="0" w:hanging="1896" w:hangingChars="6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苗培连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临沂市人力资源和社会保障服务中心副主任、二级调研员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316" w:firstLineChars="1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尚  键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德州市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人力资源和社会保障局副局长</w:t>
      </w:r>
    </w:p>
    <w:p>
      <w:pPr>
        <w:overflowPunct w:val="0"/>
        <w:spacing w:before="0" w:beforeLines="0" w:line="580" w:lineRule="exact"/>
        <w:ind w:firstLine="632" w:firstLineChars="2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蒋玉勤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聊城市公共就业和人才服务中心副主任</w:t>
      </w:r>
    </w:p>
    <w:p>
      <w:pPr>
        <w:overflowPunct w:val="0"/>
        <w:spacing w:before="0" w:beforeLines="0" w:line="580" w:lineRule="exact"/>
        <w:ind w:left="0" w:hanging="1896" w:hangingChars="6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颜  波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滨州市人力资源和社会保障局党组副书记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市公共就业和人才服务中心主任</w:t>
      </w:r>
    </w:p>
    <w:p>
      <w:pPr>
        <w:overflowPunct w:val="0"/>
        <w:spacing w:before="0" w:beforeLines="0" w:line="580" w:lineRule="exact"/>
        <w:ind w:left="0" w:hanging="1264" w:hangingChars="400"/>
        <w:rPr>
          <w:rFonts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田孝金  菏泽市人力资源和社会保障局党组成员，副局长</w:t>
      </w:r>
    </w:p>
    <w:p>
      <w:pPr>
        <w:overflowPunct w:val="0"/>
        <w:spacing w:before="0" w:beforeLines="0" w:line="580" w:lineRule="exact"/>
        <w:ind w:firstLine="632" w:firstLineChars="200"/>
        <w:rPr>
          <w:rFonts w:eastAsia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highlight w:val="none"/>
          <w:lang w:bidi="ar"/>
          <w14:textFill>
            <w14:solidFill>
              <w14:schemeClr w14:val="tx1"/>
            </w14:solidFill>
          </w14:textFill>
        </w:rPr>
        <w:t>成立春运工作机制办公室，办公室设在省公共就业和人才服务中心，张波同志兼任办公室主任。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paperSrc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315FDCB-39CF-4BA5-99A6-184D9E2FF6AA}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0E842E45-3EDD-47E6-96AD-C7718B4193E6}"/>
  </w:font>
  <w:font w:name="Kingsoft Confetti">
    <w:altName w:val="GENISO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A0A5C5-C4DF-42AC-B15B-9E19EDE339C9}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2E1763C-53AB-4FD8-BA27-FA99E414AC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665EB2C-4BE1-4E41-94EC-427E650C6EC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AC8404F-FDBA-4CD9-8CF5-8551372D4511}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Style w:val="10"/>
        <w:rFonts w:ascii="宋体" w:hAnsi="宋体" w:eastAsia="宋体" w:cs="Times New Roman"/>
        <w:sz w:val="28"/>
        <w:szCs w:val="28"/>
      </w:rPr>
      <w:fldChar w:fldCharType="begin"/>
    </w:r>
    <w:r>
      <w:rPr>
        <w:rStyle w:val="10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10"/>
        <w:rFonts w:ascii="宋体" w:hAnsi="宋体" w:eastAsia="宋体" w:cs="Times New Roman"/>
        <w:sz w:val="28"/>
        <w:szCs w:val="28"/>
      </w:rPr>
      <w:fldChar w:fldCharType="separate"/>
    </w:r>
    <w:r>
      <w:rPr>
        <w:rStyle w:val="10"/>
        <w:rFonts w:ascii="宋体" w:hAnsi="宋体" w:eastAsia="宋体" w:cs="Times New Roman"/>
        <w:sz w:val="28"/>
        <w:szCs w:val="28"/>
      </w:rPr>
      <w:t>7</w:t>
    </w:r>
    <w:r>
      <w:rPr>
        <w:rStyle w:val="10"/>
        <w:rFonts w:ascii="宋体" w:hAnsi="宋体" w:eastAsia="宋体" w:cs="Times New Roman"/>
        <w:sz w:val="28"/>
        <w:szCs w:val="28"/>
      </w:rPr>
      <w:fldChar w:fldCharType="end"/>
    </w:r>
    <w:r>
      <w:rPr>
        <w:rStyle w:val="10"/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7"/>
      <w:ind w:left="320" w:leftChars="100" w:right="320" w:rightChars="1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</w:rPr>
    </w:pPr>
    <w:r>
      <w:rPr>
        <w:rStyle w:val="10"/>
        <w:rFonts w:ascii="Times New Roman" w:hAnsi="Times New Roman" w:eastAsia="宋体" w:cs="Times New Roman"/>
      </w:rPr>
      <w:fldChar w:fldCharType="begin"/>
    </w:r>
    <w:r>
      <w:rPr>
        <w:rStyle w:val="10"/>
        <w:rFonts w:ascii="Times New Roman" w:hAnsi="Times New Roman" w:eastAsia="宋体" w:cs="Times New Roman"/>
      </w:rPr>
      <w:instrText xml:space="preserve">PAGE  </w:instrText>
    </w:r>
    <w:r>
      <w:rPr>
        <w:rStyle w:val="10"/>
        <w:rFonts w:ascii="Times New Roman" w:hAnsi="Times New Roman" w:eastAsia="宋体" w:cs="Times New Roman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NDE5ZmZlMDliNGYwNzE2NzBlOTM3NWFkY2ViNjkifQ=="/>
  </w:docVars>
  <w:rsids>
    <w:rsidRoot w:val="47D81394"/>
    <w:rsid w:val="000429F2"/>
    <w:rsid w:val="001124CD"/>
    <w:rsid w:val="00133DD4"/>
    <w:rsid w:val="00163C21"/>
    <w:rsid w:val="002C0304"/>
    <w:rsid w:val="00324003"/>
    <w:rsid w:val="00340503"/>
    <w:rsid w:val="004520D7"/>
    <w:rsid w:val="005731D3"/>
    <w:rsid w:val="0058697F"/>
    <w:rsid w:val="006729B8"/>
    <w:rsid w:val="007926F9"/>
    <w:rsid w:val="007A2269"/>
    <w:rsid w:val="00A23601"/>
    <w:rsid w:val="00A46B69"/>
    <w:rsid w:val="00D64221"/>
    <w:rsid w:val="00DF0A37"/>
    <w:rsid w:val="00E2496F"/>
    <w:rsid w:val="00F5703A"/>
    <w:rsid w:val="00F63AE6"/>
    <w:rsid w:val="00FE7A5E"/>
    <w:rsid w:val="04C71FD7"/>
    <w:rsid w:val="06CD38E3"/>
    <w:rsid w:val="07BD0FE3"/>
    <w:rsid w:val="0955157A"/>
    <w:rsid w:val="09985D93"/>
    <w:rsid w:val="0A0773D8"/>
    <w:rsid w:val="11E5503E"/>
    <w:rsid w:val="12184852"/>
    <w:rsid w:val="15E92B46"/>
    <w:rsid w:val="168E300A"/>
    <w:rsid w:val="16E049C9"/>
    <w:rsid w:val="17E3158F"/>
    <w:rsid w:val="194275AC"/>
    <w:rsid w:val="1BB513F7"/>
    <w:rsid w:val="1E707D29"/>
    <w:rsid w:val="1FFA1A07"/>
    <w:rsid w:val="203E1947"/>
    <w:rsid w:val="29EE33D6"/>
    <w:rsid w:val="2A790FEA"/>
    <w:rsid w:val="2CB52E8B"/>
    <w:rsid w:val="2FBD1855"/>
    <w:rsid w:val="33934BED"/>
    <w:rsid w:val="38F21CD1"/>
    <w:rsid w:val="3B20012B"/>
    <w:rsid w:val="3E7458AA"/>
    <w:rsid w:val="3EAD3546"/>
    <w:rsid w:val="3F738895"/>
    <w:rsid w:val="3FA12259"/>
    <w:rsid w:val="425414ED"/>
    <w:rsid w:val="44EF7676"/>
    <w:rsid w:val="45A7354C"/>
    <w:rsid w:val="46725050"/>
    <w:rsid w:val="46C7128E"/>
    <w:rsid w:val="47D81394"/>
    <w:rsid w:val="4A7B3998"/>
    <w:rsid w:val="4A90313E"/>
    <w:rsid w:val="4B100CB1"/>
    <w:rsid w:val="4C612ACC"/>
    <w:rsid w:val="4CE3CCE6"/>
    <w:rsid w:val="4F9F69C4"/>
    <w:rsid w:val="4FFF78DF"/>
    <w:rsid w:val="508878F5"/>
    <w:rsid w:val="50DF429E"/>
    <w:rsid w:val="58594DBF"/>
    <w:rsid w:val="58EDB5BA"/>
    <w:rsid w:val="5939706E"/>
    <w:rsid w:val="5C89373D"/>
    <w:rsid w:val="64697F0B"/>
    <w:rsid w:val="68704F57"/>
    <w:rsid w:val="6B0C1ED8"/>
    <w:rsid w:val="6B7F1AB7"/>
    <w:rsid w:val="6B967415"/>
    <w:rsid w:val="6F4140F9"/>
    <w:rsid w:val="7119F211"/>
    <w:rsid w:val="72A5238B"/>
    <w:rsid w:val="75C74B9B"/>
    <w:rsid w:val="75CC2197"/>
    <w:rsid w:val="76AF7EB4"/>
    <w:rsid w:val="7777EF29"/>
    <w:rsid w:val="77F56E7D"/>
    <w:rsid w:val="79292E18"/>
    <w:rsid w:val="7BEB45DF"/>
    <w:rsid w:val="7BF3BCCD"/>
    <w:rsid w:val="7BF960EE"/>
    <w:rsid w:val="7C3357B0"/>
    <w:rsid w:val="7C5E491E"/>
    <w:rsid w:val="7CFC764A"/>
    <w:rsid w:val="7DFF8300"/>
    <w:rsid w:val="7FCE2C7B"/>
    <w:rsid w:val="9EEF5B22"/>
    <w:rsid w:val="B57FE789"/>
    <w:rsid w:val="B7FECB21"/>
    <w:rsid w:val="BDDB71AA"/>
    <w:rsid w:val="CEFF5CD0"/>
    <w:rsid w:val="DBBF638E"/>
    <w:rsid w:val="EED78F53"/>
    <w:rsid w:val="F1FE2B18"/>
    <w:rsid w:val="FAFF0629"/>
    <w:rsid w:val="FBAB1C7E"/>
    <w:rsid w:val="FD7C64C4"/>
    <w:rsid w:val="FF9F0282"/>
    <w:rsid w:val="FFBDCA28"/>
    <w:rsid w:val="FFD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  <w:rPr>
      <w:rFonts w:ascii="仿宋_GB2312" w:hAnsi="仿宋_GB2312" w:eastAsia="仿宋_GB2312"/>
      <w:sz w:val="21"/>
      <w:szCs w:val="24"/>
    </w:rPr>
  </w:style>
  <w:style w:type="paragraph" w:styleId="3">
    <w:name w:val="Body Text Indent 2"/>
    <w:basedOn w:val="1"/>
    <w:next w:val="4"/>
    <w:qFormat/>
    <w:uiPriority w:val="0"/>
    <w:pPr>
      <w:spacing w:after="120" w:line="480" w:lineRule="auto"/>
      <w:ind w:left="420" w:leftChars="200"/>
    </w:pPr>
    <w:rPr>
      <w:rFonts w:ascii="仿宋_GB2312" w:hAnsi="仿宋_GB2312" w:eastAsia="仿宋_GB2312"/>
      <w:sz w:val="21"/>
      <w:szCs w:val="24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hAnsi="宋体" w:eastAsia="仿宋_GB2312" w:cs="宋体"/>
      <w:sz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kern w:val="0"/>
      <w:szCs w:val="21"/>
    </w:rPr>
  </w:style>
  <w:style w:type="paragraph" w:styleId="6">
    <w:name w:val="index 9"/>
    <w:basedOn w:val="1"/>
    <w:next w:val="1"/>
    <w:qFormat/>
    <w:uiPriority w:val="0"/>
    <w:pPr>
      <w:spacing w:line="560" w:lineRule="exact"/>
      <w:ind w:firstLine="880"/>
    </w:pPr>
    <w:rPr>
      <w:rFonts w:cs="等线"/>
      <w:szCs w:val="21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仿宋_GB2312" w:hAnsi="仿宋_GB2312" w:eastAsia="仿宋_GB2312" w:cs="Calibri"/>
      <w:kern w:val="2"/>
      <w:sz w:val="18"/>
      <w:szCs w:val="18"/>
      <w:lang w:val="en-US" w:eastAsia="zh-CN" w:bidi="ar-SA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2465</Words>
  <Characters>503</Characters>
  <Lines>4</Lines>
  <Paragraphs>5</Paragraphs>
  <TotalTime>0</TotalTime>
  <ScaleCrop>false</ScaleCrop>
  <LinksUpToDate>false</LinksUpToDate>
  <CharactersWithSpaces>2963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2024-01-24T22:44:00Z</dcterms:created>
  <dc:creator>夏阳</dc:creator>
  <cp:lastModifiedBy>LTGX04</cp:lastModifiedBy>
  <cp:lastPrinted>2024-01-25T18:02:00Z</cp:lastPrinted>
  <dcterms:modified xsi:type="dcterms:W3CDTF">2024-01-29T00:40:29Z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46DBC700299747D3B338F6B46125DE9B_13</vt:lpwstr>
  </property>
</Properties>
</file>