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黑体" w:cs="仿宋_GB2312"/>
          <w:color w:val="auto"/>
        </w:rPr>
      </w:pPr>
      <w:r>
        <w:rPr>
          <w:rFonts w:hint="eastAsia" w:ascii="Times New Roman" w:hAnsi="Times New Roman" w:eastAsia="黑体" w:cs="仿宋_GB2312"/>
          <w:color w:val="auto"/>
        </w:rPr>
        <w:t>附件1</w:t>
      </w:r>
      <w:bookmarkStart w:id="0" w:name="_GoBack"/>
      <w:bookmarkEnd w:id="0"/>
    </w:p>
    <w:p>
      <w:pPr>
        <w:pStyle w:val="2"/>
        <w:rPr>
          <w:rFonts w:hint="eastAsia" w:ascii="Times New Roman" w:hAnsi="Times New Roman" w:eastAsia="黑体" w:cs="仿宋_GB2312"/>
          <w:color w:val="auto"/>
        </w:rPr>
      </w:pPr>
    </w:p>
    <w:p>
      <w:pPr>
        <w:pStyle w:val="2"/>
        <w:jc w:val="center"/>
        <w:rPr>
          <w:rFonts w:hint="eastAsia" w:ascii="Times New Roman" w:hAnsi="Times New Roman" w:eastAsia="黑体" w:cs="仿宋_GB2312"/>
          <w:color w:val="auto"/>
        </w:rPr>
      </w:pPr>
      <w:r>
        <w:rPr>
          <w:rFonts w:ascii="方正小标宋_GBK" w:hAnsi="方正小标宋_GBK" w:eastAsia="方正小标宋_GBK" w:cs="方正小标宋_GBK"/>
          <w:color w:val="auto"/>
          <w:kern w:val="0"/>
          <w:sz w:val="44"/>
          <w:szCs w:val="44"/>
          <w:lang w:bidi="ar"/>
        </w:rPr>
        <w:t>春风行动开展情况统计表</w:t>
      </w:r>
    </w:p>
    <w:p>
      <w:pPr>
        <w:pStyle w:val="2"/>
        <w:rPr>
          <w:rFonts w:hint="eastAsia" w:ascii="Times New Roman" w:hAnsi="Times New Roman" w:eastAsia="黑体" w:cs="仿宋_GB2312"/>
          <w:color w:val="auto"/>
        </w:rPr>
      </w:pPr>
    </w:p>
    <w:tbl>
      <w:tblPr>
        <w:tblStyle w:val="4"/>
        <w:tblW w:w="14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624"/>
        <w:gridCol w:w="801"/>
        <w:gridCol w:w="660"/>
        <w:gridCol w:w="685"/>
        <w:gridCol w:w="727"/>
        <w:gridCol w:w="600"/>
        <w:gridCol w:w="703"/>
        <w:gridCol w:w="606"/>
        <w:gridCol w:w="735"/>
        <w:gridCol w:w="690"/>
        <w:gridCol w:w="615"/>
        <w:gridCol w:w="675"/>
        <w:gridCol w:w="718"/>
        <w:gridCol w:w="669"/>
        <w:gridCol w:w="782"/>
        <w:gridCol w:w="1122"/>
        <w:gridCol w:w="18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4"/>
                <w:lang w:bidi="ar"/>
              </w:rPr>
              <w:t>市</w:t>
            </w:r>
          </w:p>
        </w:tc>
        <w:tc>
          <w:tcPr>
            <w:tcW w:w="34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t>招聘活动情况</w:t>
            </w:r>
          </w:p>
        </w:tc>
        <w:tc>
          <w:tcPr>
            <w:tcW w:w="4624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t>包车、专列（包车厢）、包机运送情况</w:t>
            </w: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t>支持返乡创业</w:t>
            </w:r>
            <w:r>
              <w:rPr>
                <w:rFonts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t>情况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t>用于开展各类招聘活动使用资金数量（单位：万元）</w:t>
            </w:r>
          </w:p>
        </w:tc>
        <w:tc>
          <w:tcPr>
            <w:tcW w:w="187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t>发放各类就业补贴数量</w:t>
            </w:r>
            <w:r>
              <w:rPr>
                <w:rFonts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t>（用于稳就业的资金均可计入，不限于就业补助资金支出。单位：万元）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线上招聘会场次</w:t>
            </w:r>
          </w:p>
        </w:tc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线上招聘会提供就业岗位数量</w:t>
            </w: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线下招聘会场次</w:t>
            </w:r>
          </w:p>
        </w:tc>
        <w:tc>
          <w:tcPr>
            <w:tcW w:w="6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线下招聘会提供就业岗位数量</w:t>
            </w:r>
          </w:p>
        </w:tc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签订就业协议（意向）人次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合计运送人次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专车数量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专车运送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人次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专列（含包车厢）数量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专列（含包车厢）运送人次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包机架次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包机运送人次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推介创业项目个数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组织创业导师指导人次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提供创业场地资源个数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hAnsi="宋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hAnsi="宋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44"/>
        <w:rPr>
          <w:rFonts w:ascii="Times New Roman" w:hAnsi="Times New Roman"/>
          <w:color w:val="auto"/>
          <w:lang w:val="en-US"/>
        </w:rPr>
        <w:sectPr>
          <w:pgSz w:w="16838" w:h="11906" w:orient="landscape"/>
          <w:pgMar w:top="1797" w:right="1383" w:bottom="1797" w:left="1440" w:header="851" w:footer="992" w:gutter="0"/>
          <w:pgNumType w:fmt="decimal"/>
          <w:cols w:space="720" w:num="1"/>
          <w:titlePg/>
          <w:docGrid w:type="linesAndChars" w:linePitch="437" w:charSpace="2555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Times New Roman" w:hAnsi="Times New Roman"/>
          <w:color w:val="auto"/>
          <w:lang w:val="en-US"/>
        </w:rPr>
      </w:pPr>
      <w:r>
        <w:rPr>
          <w:rFonts w:hint="eastAsia" w:ascii="Times New Roman" w:hAnsi="Times New Roman"/>
          <w:color w:val="auto"/>
          <w:lang w:val="en-US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Times New Roman" w:hAnsi="Times New Roman"/>
          <w:color w:val="auto"/>
          <w:lang w:val="en-U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Times New Roman" w:hAnsi="Times New Roman"/>
          <w:color w:val="auto"/>
          <w:lang w:val="en-US"/>
        </w:rPr>
      </w:pPr>
      <w:r>
        <w:rPr>
          <w:rFonts w:ascii="方正小标宋_GBK" w:hAnsi="方正小标宋_GBK" w:eastAsia="方正小标宋_GBK" w:cs="方正小标宋_GBK"/>
          <w:color w:val="auto"/>
          <w:kern w:val="0"/>
          <w:sz w:val="44"/>
          <w:szCs w:val="44"/>
          <w:lang w:bidi="ar"/>
        </w:rPr>
        <w:t>春风行动排期表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Times New Roman" w:hAnsi="Times New Roman"/>
          <w:color w:val="auto"/>
          <w:lang w:val="en-US"/>
        </w:rPr>
      </w:pPr>
    </w:p>
    <w:tbl>
      <w:tblPr>
        <w:tblStyle w:val="4"/>
        <w:tblW w:w="93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554"/>
        <w:gridCol w:w="2672"/>
        <w:gridCol w:w="1573"/>
        <w:gridCol w:w="1573"/>
        <w:gridCol w:w="21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4"/>
                <w:lang w:bidi="ar"/>
              </w:rPr>
              <w:t>市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4"/>
                <w:lang w:bidi="ar"/>
              </w:rPr>
              <w:t>招聘会名称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4"/>
                <w:lang w:bidi="ar"/>
              </w:rPr>
              <w:t>举办时间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4"/>
                <w:lang w:bidi="ar"/>
              </w:rPr>
              <w:t>举办地点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4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济南市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5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5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</w:rPr>
              <w:t>4</w:t>
            </w:r>
          </w:p>
        </w:tc>
        <w:tc>
          <w:tcPr>
            <w:tcW w:w="5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</w:rPr>
              <w:t>5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</w:rPr>
              <w:t>6</w:t>
            </w:r>
          </w:p>
        </w:tc>
        <w:tc>
          <w:tcPr>
            <w:tcW w:w="5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</w:rPr>
              <w:t>7</w:t>
            </w:r>
          </w:p>
        </w:tc>
        <w:tc>
          <w:tcPr>
            <w:tcW w:w="5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</w:rPr>
              <w:t>8</w:t>
            </w:r>
          </w:p>
        </w:tc>
        <w:tc>
          <w:tcPr>
            <w:tcW w:w="5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</w:rPr>
              <w:t>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</w:rPr>
              <w:t>…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zJhNGQwY2I5MmQwZGExNDQ1YTBjMGU4NjUzODMifQ=="/>
    <w:docVar w:name="KSO_WPS_MARK_KEY" w:val="3a507d86-34f0-4d50-b1a5-97d2f4646e64"/>
  </w:docVars>
  <w:rsids>
    <w:rsidRoot w:val="7B0D17C6"/>
    <w:rsid w:val="7B0D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 w:val="0"/>
      <w:kinsoku/>
      <w:adjustRightInd/>
      <w:snapToGrid/>
      <w:textAlignment w:val="auto"/>
    </w:pPr>
    <w:rPr>
      <w:rFonts w:ascii="Arial Unicode MS" w:hAnsi="Arial Unicode MS" w:eastAsia="Arial Unicode MS" w:cs="Arial Unicode MS"/>
      <w:snapToGrid/>
      <w:color w:val="auto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2024-02-01T01:10:00Z</dcterms:created>
  <dc:creator>婁超羣</dc:creator>
  <cp:lastModifiedBy>婁超羣</cp:lastModifiedBy>
  <dcterms:modified xsi:type="dcterms:W3CDTF">2024-02-01T01:10:16Z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C7310BDF3E1246BAA515CE4B610C80CD_11</vt:lpwstr>
  </property>
</Properties>
</file>