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33号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关于公布首届（2022年度）全省人力资源社会保障课题结项评审结果的通报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各市人力资源社会保障局，省直有关部门（单位），各高等院校、科研院所、技工院校：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山东省人力资源和社会保障厅关于组织开展首届（2022年度）全省人力资源社会保障课题申报工作的通知》等文件要求，在各有关单位审核推荐的基础上，省人力资源社会保障厅组织专家评委对2022年度人力资源和社会保障课题结项成果进行了评审，现将优秀课题和通过课题予以公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590" w:leftChars="300" w:right="0" w:rightChars="0" w:hanging="960" w:hangingChars="3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附件：首届（2022年度）全省人力资源社会保障课题优秀及结项通过名单</w:t>
      </w:r>
    </w:p>
    <w:p>
      <w:pPr>
        <w:spacing w:line="560" w:lineRule="exact"/>
        <w:ind w:firstLine="1609" w:firstLineChars="503"/>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p>
    <w:p>
      <w:pPr>
        <w:spacing w:line="560" w:lineRule="exact"/>
        <w:ind w:firstLine="1609" w:firstLineChars="503"/>
        <w:rPr>
          <w:rFonts w:ascii="仿宋_GB2312" w:hAnsi="仿宋_GB2312" w:eastAsia="仿宋_GB2312" w:cs="仿宋_GB2312"/>
          <w:color w:val="auto"/>
          <w:sz w:val="32"/>
          <w:szCs w:val="32"/>
        </w:rPr>
      </w:pPr>
    </w:p>
    <w:p>
      <w:pPr>
        <w:spacing w:line="560" w:lineRule="exact"/>
        <w:ind w:firstLine="1609" w:firstLineChars="50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山东省人力资源和社会保障厅</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spacing w:line="560" w:lineRule="exact"/>
        <w:rPr>
          <w:rFonts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（此件主动公开）</w:t>
      </w:r>
    </w:p>
    <w:p>
      <w:pPr>
        <w:spacing w:line="560" w:lineRule="exact"/>
        <w:ind w:firstLine="63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（联系单位：省人力资源社会保障科学研究院）</w:t>
      </w:r>
    </w:p>
    <w:p>
      <w:pPr>
        <w:spacing w:line="560" w:lineRule="exact"/>
        <w:rPr>
          <w:rFonts w:hint="eastAsia" w:ascii="仿宋_GB2312" w:hAnsi="仿宋_GB2312" w:eastAsia="仿宋_GB2312" w:cs="仿宋_GB2312"/>
          <w:color w:val="auto"/>
          <w:sz w:val="32"/>
          <w:szCs w:val="32"/>
        </w:rPr>
        <w:sectPr>
          <w:pgSz w:w="11906" w:h="16838"/>
          <w:pgMar w:top="2098" w:right="1531" w:bottom="1814" w:left="1531" w:header="851" w:footer="1587" w:gutter="0"/>
          <w:cols w:space="0" w:num="1"/>
          <w:rtlGutter w:val="0"/>
          <w:docGrid w:type="linesAndChars" w:linePitch="587" w:charSpace="-849"/>
        </w:sectPr>
      </w:pPr>
    </w:p>
    <w:p>
      <w:pPr>
        <w:spacing w:line="560" w:lineRule="exact"/>
        <w:rPr>
          <w:rFonts w:hint="eastAsia" w:ascii="仿宋_GB2312" w:hAnsi="仿宋_GB2312" w:eastAsia="仿宋_GB2312" w:cs="仿宋_GB2312"/>
          <w:color w:val="auto"/>
          <w:sz w:val="32"/>
          <w:szCs w:val="32"/>
        </w:rPr>
      </w:pPr>
      <w:r>
        <w:rPr>
          <w:rFonts w:hint="eastAsia" w:ascii="黑体" w:hAnsi="宋体" w:eastAsia="黑体" w:cs="黑体"/>
          <w:i w:val="0"/>
          <w:color w:val="auto"/>
          <w:kern w:val="0"/>
          <w:sz w:val="30"/>
          <w:szCs w:val="30"/>
          <w:u w:val="none"/>
          <w:lang w:val="en-US" w:eastAsia="zh-CN" w:bidi="ar"/>
        </w:rPr>
        <w:t>附件</w:t>
      </w:r>
    </w:p>
    <w:p>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首届（2022年度）全省人力资源社会保障课题优秀及结项通过名单</w:t>
      </w:r>
    </w:p>
    <w:p>
      <w:pPr>
        <w:spacing w:line="560" w:lineRule="exact"/>
        <w:rPr>
          <w:rFonts w:hint="eastAsia" w:ascii="仿宋_GB2312" w:hAnsi="仿宋_GB2312" w:eastAsia="仿宋_GB2312" w:cs="仿宋_GB2312"/>
          <w:color w:val="auto"/>
          <w:sz w:val="32"/>
          <w:szCs w:val="32"/>
        </w:rPr>
      </w:pPr>
    </w:p>
    <w:tbl>
      <w:tblPr>
        <w:tblStyle w:val="8"/>
        <w:tblW w:w="14363"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5"/>
        <w:gridCol w:w="4927"/>
        <w:gridCol w:w="2019"/>
        <w:gridCol w:w="1214"/>
        <w:gridCol w:w="2952"/>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课题编号</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课题名称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承担单位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负责人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课题组成员</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新就业形态从业人员参加养老保险的现状研究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山东农业大学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张务伟</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高艺恒、李  昊、呼静茹、</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孙  杨、户丽文、邵佳宾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2022ZDKT-11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新就业形态劳动者劳动保障权益问题研究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中国海洋大学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张樨樨</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冯喜良、刘  冰、孙  锐、</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苏慧文、周灵灵、郝兴霖、</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史志颖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2022ZDKT-12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公务员录用考试测评方法和技术研究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青岛理工大学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孙秀明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乐国林、徐振亭、张海舰、</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成  威、孙  璐</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山东“三支一扶”期满人员基层建功立业成果研究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  政</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李诗宇、康  峰、邱  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技工院校开展职业技能培训品牌化建设研究——以“充电桩运行与维护”培训项目为例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山东劳动技师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徐群杰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唐琳琳、卢立倩、王来华、</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叶建学、李志善、李娜娜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人力资源服务产业园区发展模式及优化路径</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中共烟台市委</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党校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王义娜</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商  良、彭  周、高  慧、郭艺文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技工院校教学与世界技能大赛标准体系对接机制研究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山东工业技师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  莹</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朱  彬、张  瑞、狄  科、姜  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疫情防控形势下促进高校毕业生更加充分更高质量就业路径研究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李功华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  婧、李  虎、刘  欣、陈  曦、李海燕、李一楠、曹明明、任  伟、于春娥</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零工市场现状及发展研究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山东管理学院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刘凤杰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耿艳丽、周  琳、杨  晓、杨雯惠、李  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社会保险经办数字化转型研究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Style w:val="12"/>
                <w:rFonts w:hAnsi="宋体"/>
                <w:color w:val="auto"/>
                <w:sz w:val="28"/>
                <w:szCs w:val="28"/>
                <w:lang w:val="en-US" w:eastAsia="zh-CN" w:bidi="ar"/>
              </w:rPr>
              <w:t>山东工商学院</w:t>
            </w:r>
            <w:r>
              <w:rPr>
                <w:rStyle w:val="13"/>
                <w:rFonts w:hAnsi="宋体"/>
                <w:color w:val="auto"/>
                <w:sz w:val="28"/>
                <w:szCs w:val="28"/>
                <w:lang w:val="en-US" w:eastAsia="zh-CN" w:bidi="ar"/>
              </w:rPr>
              <w:t xml:space="preserve">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廖少宏</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傅志明、李亚军、宋春玲、李金耀、赵  宁、王  欣、高晓峰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人才支撑黄河流域生态保护和高质量发展战略山东实践路径研究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山东省农业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科学院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  萌</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王娜娜、阴卫军、朱小玲、李  昶、李新华</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山东人力资源服务业发展现状及推进措施研究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唐贵瑶</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林丛丛、陈梦媛、王  政、马自香、贾竣云、孙  倩、孙  玮、刘  玮</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2022ZDKT-09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新时代背景下工学一体化技能人才培养研究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聊城市技师学院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崔玉翠</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孙延秋、李英梅、徐公义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2022ZDKT-10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留学人员创业园吸引集聚作用研究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烟台市人力资源和社会保障局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彭  周</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孙琳琳、苏  红、鞠成银、张  晶、栾通林</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2022ZDKT-13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全省人社系统高素质专业化年轻干部队伍建设优化提升路径研究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胡文安</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易  明、林丛丛、张  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2022ZDKT-14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推进人社领域社会信用体系建设研究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齐鲁工业大学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晁玉方</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  正、王  友、刘海鹰、常雪飞、赵秀丽、王  磊、陈晓彤、朱隆涛</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乡村振兴背景下山东省农民工转移就业的行为选择研究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代明慧</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于法稳、田建军、吕绪洁、史文倩</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常态化疫情防控形势下农民工就业趋势及路径选择研究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青岛农业大学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丁慧平</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董坤祥、王晓蓉、褚法政、熊  凯、王  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“提质扩容”背景下城市家庭服务业发展现状及优化策略研究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山东医学高等</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专科学校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鲍  宇</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胡  娜、公  倩、赵  蕾、谭  鹏、范新蕾、尤  蕾、李梦琪</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烟台市家庭服务业发展现状及优化策略研究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烟台市人力资源和社会保障局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李京岐</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曹文兰、邢晓宇、王军寿、魏振兴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大数据背景下山东省公共就业服务与人力资源市场协同发展研究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山东商务职业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陈  涌</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范彩荣、高晓燕、蒋少艳、杨  震、刘松琳、刘良忠、刘东辉、付婷婷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2022YBKT-06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疫情防控背景下的省域公共就业服务与人力资源市场协同发展路径研究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泰山学院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李洪娟</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邵来成、王  蕾、冯  雪</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数智时代职业院校技能培训品牌化建设研究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山东圣翰财贸</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职业学院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王玉岭</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王圣文、苏  磊、王  玎、孙  会、张  静、丁  倩、陈梓梁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职业技能培训品牌化建设研究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聊城市技师学院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  青</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  胜、张  迪、刘  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数字时代职业技能培训品牌价值共创路径研究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烟台市人力资源和社会保障局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翟同胜</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  晶、王  燕、刁玉锋、张吉山、张晓宁、杨  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打造具有山东特色人才发展雁阵格局的社会支持体系研究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孟芯纬</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赵红卫、罗小茗、黄巨臣、邓  剑、李志刚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师承引领 传承创新 打造山东特色中医药人才发展雁阵格局路径研究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山东中医药高等专科学校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舒冠凤</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梁洪瑞、孙晓红、陈锦元、沈  伟、李春巧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高校青年人才就业创业政策供给服务问题研究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李仁大</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杨景亮、万  利、刘甲坤、王  箐、赵浩杰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胶东经济圈事业单位青年人才政策供给问题研究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潍坊市人力资源和社会保障局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刘丽宁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  旭、何  慧、刘  超、李  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青年人才引进政策供给与发展需求匹配研究——以驻青高校为例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青岛科技大学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刘孔莉 </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陶亚亚、王锋业、褚庆柱、杨小明、苗  清、雷  剑、徐  华</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2022YBKT-18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高层次青年卫生人才来鲁就业配套政策供给问题研究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山东中医药大学</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附属医院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韩  旭</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  杰、王  端、杨学伟、杨  洁、于秋菊、孟佳艺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技工院校教学改革与世界技能大赛标准体系对接实践研究——以计算机辅助设计与制造专业与CAD机械设计赛项为例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山东劳动技师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任  勇</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段晶莹、王兴涛、孙永华、刘  刚、刘  燕、付长景、徐雪彦、张恩浩</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世界技能大赛标准体系融入技工院校工学一体化课程改革的研究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济南市技师学院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李付娥</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杨蓉蓉、单诵军、温继军、栾兆丹</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基于工学一体化的公办技工院校高技能人才队伍建设研究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泰安技师学院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葛绪涛</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Style w:val="12"/>
                <w:rFonts w:hAnsi="宋体"/>
                <w:color w:val="auto"/>
                <w:sz w:val="28"/>
                <w:szCs w:val="28"/>
                <w:lang w:val="en-US" w:eastAsia="zh-CN" w:bidi="ar"/>
              </w:rPr>
              <w:t>张仕俊、韩文</w:t>
            </w:r>
            <w:r>
              <w:rPr>
                <w:rStyle w:val="14"/>
                <w:color w:val="auto"/>
                <w:sz w:val="28"/>
                <w:szCs w:val="28"/>
                <w:lang w:val="en-US" w:eastAsia="zh-CN" w:bidi="ar"/>
              </w:rPr>
              <w:t>旻</w:t>
            </w:r>
            <w:r>
              <w:rPr>
                <w:rStyle w:val="12"/>
                <w:rFonts w:hAnsi="宋体"/>
                <w:color w:val="auto"/>
                <w:sz w:val="28"/>
                <w:szCs w:val="28"/>
                <w:lang w:val="en-US" w:eastAsia="zh-CN" w:bidi="ar"/>
              </w:rPr>
              <w:t>、贺冬丽、王  静、赵  伟、杨  燕、杨东飞</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公办技工院校高技能人才培养路径研究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山东劳动技师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卢萌萌</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孙丽萍、尹四倍、张雅美、周照君</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三螺旋理论视域下技工院校高技能人才培养模式构建研究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山东农业工程</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王学风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霍新村、田  芸、黄甘雨、尉  琳、赵巍巍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山东省“专精特新”中小企业专业技术人才职称申报评审机制问题研究  </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青岛理工大学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王晓飞</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乐国林、周红燕、刘宏宇、俞以平、彭  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高端“智动力”助推乡村振兴问题实证研究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山东农业大学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崔新群</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李晓燕、周  倩、齐昌明</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2022YBKT-29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清华大学乡村振兴工作站助力乡村振兴研究——以山东省微山县为例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微山县人力资源和社会保障局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田向阳</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沈  圳、邱基淳、苏  蕊、陈庆波、田思源、蒋继剑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高校高层次人才服务的市场化实施路径研究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 山东科技大学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  娟</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诸葛福民、郭洪波、郭磊、刘梅月、石  南、尚  军、李  莹、曹泽玲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基于疫情防控常态化背景的高校毕业生就业质量提升路径探究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济南大学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白  健</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张良红、徐  岩、杨  倩、弋  媛、赵敬媛、王葵朱、于子淇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基于政策和服务的山东特色“2+N”人才发展环境评估研究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山东理工大学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王兴帅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张良贵、公衍照、孙  凤、关  禹、孙雪娇、杨圩子文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人才聚集推动沿黄九市生态保护和高质量发展的差异化路径设计及政策协同机制研究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齐鲁工业大学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邵  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迟旭蕾、韩传兵、王  蕊、高英朋、董  鑫、孙鹏飞、王永辉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后疫情时代高校大学生基层就业现状与策略研究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山东农业工程</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公丕娟</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王明晶、刘红军、李  艳、张丽萍、聂立慧、韩泽宇、朱丽丽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职业技能等级认定工作质量评价研究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山东劳动技师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宋超超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丁  利、甘  博、孙宜彬、刘  强、李  振、张晋生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技工院校“一体两翼三型七维”高技能师资队伍培育研究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山东劳动技师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任洪亮</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陈乃超、赵  颖、纪玉川、王茂慧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山东省低收入人口常态化救助帮扶机制研究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中国海洋大学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范  丛</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刘海英、周兵兵、孙敬华、陈仁兴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2022YBKT-39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个人养老金制度建立的理论逻辑、现实挑战与实现路径</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山东农业大学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  昊</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汪  圣、毕先进、周  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人力资源市场招聘信息审核问题研究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济宁市公共就业和人才服务中心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张晓东</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  弛、刘文博、翟  青、孙长言、王  琛</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基于获得感提升的山东省人社领域基本公共服务供给侧改革研究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山东科技大学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原  光</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国  虹、苗红培、王  艺、辛璐璐、王潆若、李  烁、谭学良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信息视域下高校毕业生就业服务研究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聊城大学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刘艳朵</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薄纯鑫、孙小梅、王丽英、樊  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新就业形态从业者养老保险参保意愿研究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山东中医药大学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林雪杰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  乐、陈  希、杨伟伟、于永生、吴立英</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大学生就业期望与用人单位需求研究——以山东省为例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山东理工大学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赵建辉</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张子礼、南爱华、侯  倩、毕奎奎、王长恒、李金香、巩  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乡村振兴战略下山东省农村地区人力资本投资路径研究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潍坊科技学院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  涛</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苗丽娥、刘金元、武术胜、桑建丽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人工智能时代劳动监控的合法限度研究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山东科技大学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解直凤</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  伟、单  娟、张  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2022YBKT-49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山东青年基层就业意愿与对策研究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齐鲁工业大学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崔桂莲</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周光霞、田  杨、曹利战、周梦娜、史秉菲、高  雪</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资源禀赋视阈下新生代农民工就业质量调查及提升策略研究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山东现代学院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  申</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武中哲、周  嘉、李素梅、杨小花、王  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新业态从业人员参加养老保险现状分析及对策研究——以山东省菏泽市为例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菏泽市牡丹区人力资源和社会保障局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李咏梅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Style w:val="12"/>
                <w:rFonts w:hAnsi="宋体"/>
                <w:color w:val="auto"/>
                <w:sz w:val="28"/>
                <w:szCs w:val="28"/>
                <w:lang w:val="en-US" w:eastAsia="zh-CN" w:bidi="ar"/>
              </w:rPr>
              <w:t xml:space="preserve">王  </w:t>
            </w:r>
            <w:r>
              <w:rPr>
                <w:rStyle w:val="15"/>
                <w:color w:val="auto"/>
                <w:sz w:val="28"/>
                <w:szCs w:val="28"/>
                <w:lang w:val="en-US" w:eastAsia="zh-CN" w:bidi="ar"/>
              </w:rPr>
              <w:t>璟</w:t>
            </w:r>
            <w:r>
              <w:rPr>
                <w:rStyle w:val="12"/>
                <w:rFonts w:hAnsi="宋体"/>
                <w:color w:val="auto"/>
                <w:sz w:val="28"/>
                <w:szCs w:val="28"/>
                <w:lang w:val="en-US" w:eastAsia="zh-CN" w:bidi="ar"/>
              </w:rPr>
              <w:t>、王  鹏、王玉峰、李  静</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齐鲁乡村振兴的人才供给机制研究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齐鲁工业大学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李先涛</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郭雷庆、林玉海、魏志荣、王  晨</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青年人才赋能黄河流域先进制造业高质量发展研究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山东科技大学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  佳</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Style w:val="12"/>
                <w:rFonts w:hAnsi="宋体"/>
                <w:color w:val="auto"/>
                <w:sz w:val="28"/>
                <w:szCs w:val="28"/>
                <w:lang w:val="en-US" w:eastAsia="zh-CN" w:bidi="ar"/>
              </w:rPr>
              <w:t xml:space="preserve">孔宁宁、王  </w:t>
            </w:r>
            <w:r>
              <w:rPr>
                <w:rStyle w:val="14"/>
                <w:color w:val="auto"/>
                <w:sz w:val="28"/>
                <w:szCs w:val="28"/>
                <w:lang w:val="en-US" w:eastAsia="zh-CN" w:bidi="ar"/>
              </w:rPr>
              <w:t>旻</w:t>
            </w:r>
            <w:r>
              <w:rPr>
                <w:rStyle w:val="12"/>
                <w:rFonts w:hAnsi="宋体"/>
                <w:color w:val="auto"/>
                <w:sz w:val="28"/>
                <w:szCs w:val="28"/>
                <w:lang w:val="en-US" w:eastAsia="zh-CN" w:bidi="ar"/>
              </w:rPr>
              <w:t>、黄  瑶、齐斯文、蔡娜娜、王景波、李红雨</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高职院校高层次人才队伍建设研究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山东中医药高等</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专科学校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王坤荣</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吕东刚、田  雷、刘灵勇、王雅琳、康润利、郑  民、周庆强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新就业形态从业人员工伤保险权益问题研究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菏泽市社会保险事业服务中心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祝传魁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袁  赫、郭新立、罗  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乡村振兴背景下山东高校毕业生返乡就业实施路径研究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山东理工大学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江金谛</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郭冬晖、毛  毳、李  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技工院校“六双”工学一体化技能人才培养模式研究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青岛市技师学院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梁  珍</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  波、亓艳茹、于海鹏、王  彬、刘治敏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2022YBKT-59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发挥职业培训优势助力乡村振兴研究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滨州市公共就业和人才服务中心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 张大伟 </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赵  霞、韩鲁月、刘明亮、李聪聪、张晓霖、聂修军</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大学毕业生留鲁兴鲁就业创业提升路径研究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刘砚华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魏  巍、李  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基于八盒模型的乡村人才智库构建与应用研究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山东现代学院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  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  新、孟凡江、张广旭、赵晓丽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2012—2021年山东省人才政策文本分析</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山东理工大学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高卫中</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杜清玲、张晓连、刘  英</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山东省个人养老金潜在需求研究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山东第一医科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于建华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魏欣芝、佟向杰、许彦彬</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人口老龄化背景下医养结合打通“最后一公里”新型养老模式的研究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山东英才学院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徐  莉</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张俊鹏、王秀丽、王  辉、王世芳、荆  文、钱路平、张然然</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乡村振兴背景下山东省新型职业农民技术技能培训的路径及实施对策研究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山东财经大学</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东方学院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杨贤超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朱德胜、刘  榛、马艳洁、巩潇娴、李善花、张广源、孙继雅、任  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家庭服务业人才职业能力创新及培育策略研究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  雯</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崔  一、闫  娜、崔  伟、白  洁、矫震达、姜艳丽、安  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山东省乡村医生队伍现状与培养对策研究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山东医学高等</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专科学校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舒德峰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张纪云、马永臻、杨  亮、于  莉、王海廷、陈  蒙、姜  艳、李中远</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经济新常态下创业带动就业的人力资源作用机制研究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莱阳市公共就业和人才服务中心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郭玉玺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  芳、王  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2022YBKT-69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山东省农业农村人才队伍建设研究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山东省农业农村发展研究中心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邢晓飞</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杨久涛、国  栋、李柱金、高  波、谢传峰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山东省人才集聚的空间统计学研究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山东第一医科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  磊</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刘长有、鞠迎修、展恩来</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2022YBKT-71</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山东省高层次人才劳动与社会保障研究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山东第一医科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大学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孙庆梅</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慈倩倩、林国亮、齐旭东、吴雁飞</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新就业形态用工与劳动者劳动保障权益分析研究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菏泽市牡丹区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王玉峰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Style w:val="12"/>
                <w:rFonts w:hAnsi="宋体"/>
                <w:color w:val="auto"/>
                <w:sz w:val="28"/>
                <w:szCs w:val="28"/>
                <w:lang w:val="en-US" w:eastAsia="zh-CN" w:bidi="ar"/>
              </w:rPr>
              <w:t xml:space="preserve">赵美荣、李咏梅、王  </w:t>
            </w:r>
            <w:r>
              <w:rPr>
                <w:rStyle w:val="14"/>
                <w:color w:val="auto"/>
                <w:sz w:val="28"/>
                <w:szCs w:val="28"/>
                <w:lang w:val="en-US" w:eastAsia="zh-CN" w:bidi="ar"/>
              </w:rPr>
              <w:t>璟</w:t>
            </w:r>
            <w:r>
              <w:rPr>
                <w:rStyle w:val="13"/>
                <w:rFonts w:hAnsi="宋体"/>
                <w:color w:val="auto"/>
                <w:sz w:val="28"/>
                <w:szCs w:val="28"/>
                <w:lang w:val="en-US" w:eastAsia="zh-CN" w:bidi="ar"/>
              </w:rPr>
              <w:t>、</w:t>
            </w:r>
            <w:r>
              <w:rPr>
                <w:rStyle w:val="12"/>
                <w:rFonts w:hAnsi="宋体"/>
                <w:color w:val="auto"/>
                <w:sz w:val="28"/>
                <w:szCs w:val="28"/>
                <w:lang w:val="en-US" w:eastAsia="zh-CN" w:bidi="ar"/>
              </w:rPr>
              <w:t>李静</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建立中药应用技术人才培养品牌的探索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山东医药技师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翟树林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马晓雪、王福强、冯玉静、张发余、张如意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产业转型升级背景下基于OBE教育理念的信息类高端技术技能人才队伍建设研究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淄博技师学院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魏婷婷</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国梦露、刘海鹏、郭鸣晓、魏宝亮、孙晓东、王  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数字化转型背景下企业新生代员工人才黏性提升路径研究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山东商务职业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  琳</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刘香兰、谢  慧、闫玉华、孙志平、高志霞</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山东省家庭母婴护理员服务现状及培训需求研究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山东中医药高等</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专科学校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初钰华</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吕梅军、崔亚敏、赵  雪、朱  琳、张欢欢、高占玲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2022YBKT-77</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大数据视域下地方性人力资源标准实践探索</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泰山学院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王兴起</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孔  瀛、曹  卉、张  莹</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2022YBKT-78</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大学生就业政策执行困境及对策研究——以济宁市为例</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济宁市城市管理综合执法支队</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唐  丽</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任宪民、蒋红星、徐  琨、齐慧丽、刘  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2022YBKT-79</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基于机器学习的高校毕业生留鲁就业问题研究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学院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孙文燕</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宁玉富、杨菲菲、李  哲、林慧玲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2022YBKT-80</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新农科背景下实用技能型卓越农学专业实践教学体系构建研究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潍坊科技学院</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  聪</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王双同、张守胜、张  源、李德刚、桑  蕊、刘建民、郎德山</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2022YBKT-82</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山东省三级公立医院青年人才员工援助计划研究——基于情绪劳动视角</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山东第一医科大学附属省立医院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许利刚</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栾琳琳、李  星、柳琰宇、丛洪斌、冯  斌、乔记兵、窦  蕾、俞  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2022YBKT-83</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关于创新青年人才引育机制推动青年发展友好型城市建设的路径探究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日照市人力资源和社会保障局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李慧萍</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丁海峰、常  沙、隋  磊、王仲恺、罗  莉、王召连</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2022YBKT-84</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人事考试安全风险管理研究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日照市人力资源和社会保障局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刘彦萍</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丁玉宝、张  健、张  涵、王方圆、罗  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2022YBKT-85</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省属卫生事业单位中层干部队伍现状及优化路径研究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山东医学高等</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 xml:space="preserve">专科学校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张习哲</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李华锋、谭  晖、高  豪、朱丽娜、张本政、朱  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exac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2022YBKT-86</w:t>
            </w:r>
          </w:p>
        </w:tc>
        <w:tc>
          <w:tcPr>
            <w:tcW w:w="4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人力资源视域下事业单位内部审计问题与对策研究</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青岛市黄岛区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 xml:space="preserve">人力资源和社会保障局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徐建玲</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宋祥华、于美淑、董  金、王泓淼、丁晖远、范存凤</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通过</w:t>
            </w:r>
          </w:p>
        </w:tc>
      </w:tr>
    </w:tbl>
    <w:p>
      <w:pPr>
        <w:spacing w:line="560" w:lineRule="exact"/>
        <w:rPr>
          <w:rFonts w:hint="eastAsia" w:ascii="仿宋_GB2312" w:hAnsi="仿宋_GB2312" w:eastAsia="仿宋_GB2312" w:cs="仿宋_GB2312"/>
          <w:color w:val="auto"/>
          <w:sz w:val="32"/>
          <w:szCs w:val="32"/>
        </w:rPr>
        <w:sectPr>
          <w:pgSz w:w="16838" w:h="11906" w:orient="landscape"/>
          <w:pgMar w:top="1531" w:right="2098" w:bottom="1531" w:left="1814" w:header="851" w:footer="1587" w:gutter="0"/>
          <w:cols w:space="0" w:num="1"/>
          <w:rtlGutter w:val="0"/>
          <w:docGrid w:type="linesAndChars" w:linePitch="589" w:charSpace="-849"/>
        </w:sect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240" w:lineRule="auto"/>
        <w:ind w:right="0" w:righ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jc w:val="both"/>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5615940" cy="0"/>
                <wp:effectExtent l="0" t="0" r="0" b="0"/>
                <wp:wrapNone/>
                <wp:docPr id="7"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1pt;margin-top:0.1pt;height:0pt;width:442.2pt;z-index:251658240;mso-width-relative:page;mso-height-relative:page;" filled="f" stroked="t" coordsize="21600,21600" o:gfxdata="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8bBDRAAAAAgEAAA8AAAAAAAAAAQAgAAAAIgAAAGRy&#10;cy9kb3ducmV2LnhtbFBLAQIUABQAAAAIAIdO4kB671tB0wEAAJwDAAAOAAAAAAAAAAEAIAAAACAB&#10;AABkcnMvZTJvRG9jLnhtbFBLBQYAAAAABgAGAFkBAABl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369570</wp:posOffset>
                </wp:positionV>
                <wp:extent cx="5615940" cy="0"/>
                <wp:effectExtent l="0" t="0" r="0" b="0"/>
                <wp:wrapNone/>
                <wp:docPr id="9"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1pt;margin-top:29.1pt;height:0pt;width:442.2pt;z-index:251660288;mso-width-relative:page;mso-height-relative:page;" filled="f" stroked="t" coordsize="21600,21600" o:gfxdata="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zP0WtQAAAAGAQAADwAAAAAAAAABACAAAAAiAAAA&#10;ZHJzL2Rvd25yZXYueG1sUEsBAhQAFAAAAAgAh07iQNgkR9PSAQAAnAMAAA4AAAAAAAAAAQAgAAAA&#10;IwEAAGRycy9lMm9Eb2MueG1sUEsFBgAAAAAGAAYAWQEAAGc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389890</wp:posOffset>
                </wp:positionV>
                <wp:extent cx="5615940" cy="0"/>
                <wp:effectExtent l="0" t="0" r="0" b="0"/>
                <wp:wrapNone/>
                <wp:docPr id="8" name="直线 8"/>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1pt;margin-top:30.7pt;height:0pt;width:442.2pt;z-index:251659264;mso-width-relative:page;mso-height-relative:page;" filled="f" stroked="t" coordsize="21600,21600" o:gfxdata="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vUEBbUAAAABgEAAA8AAAAAAAAAAQAgAAAAIgAA&#10;AGRycy9kb3ducmV2LnhtbFBLAQIUABQAAAAIAIdO4kBGiUtZ0wEAAJwDAAAOAAAAAAAAAAEAIAAA&#10;ACMBAABkcnMvZTJvRG9jLnhtbFBLBQYAAAAABgAGAFkBAABo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张杰</w:t>
      </w:r>
    </w:p>
    <w:bookmarkEnd w:id="0"/>
    <w:sectPr>
      <w:pgSz w:w="11906" w:h="16838"/>
      <w:pgMar w:top="2098" w:right="1531" w:bottom="1814" w:left="1531" w:header="851" w:footer="1587" w:gutter="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安景臣钢笔行书">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刘德华字体叶根友仿版">
    <w:panose1 w:val="02010601030101010101"/>
    <w:charset w:val="86"/>
    <w:family w:val="auto"/>
    <w:pitch w:val="default"/>
    <w:sig w:usb0="00000001" w:usb1="080E0000" w:usb2="00000000" w:usb3="00000000" w:csb0="00040000" w:csb1="00000000"/>
  </w:font>
  <w:font w:name="创艺简黑体">
    <w:panose1 w:val="00000000000000000000"/>
    <w:charset w:val="00"/>
    <w:family w:val="auto"/>
    <w:pitch w:val="default"/>
    <w:sig w:usb0="00000000" w:usb1="00000000" w:usb2="00000000" w:usb3="00000000" w:csb0="00000000" w:csb1="00000000"/>
  </w:font>
  <w:font w:name="创艺繁琥珀">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叶根友特色空心简体终极版">
    <w:panose1 w:val="02010601030101010101"/>
    <w:charset w:val="86"/>
    <w:family w:val="auto"/>
    <w:pitch w:val="default"/>
    <w:sig w:usb0="00000001" w:usb1="080E0000" w:usb2="00000000" w:usb3="00000000" w:csb0="00040000" w:csb1="00000000"/>
  </w:font>
  <w:font w:name="叶根友特色简体升级版">
    <w:panose1 w:val="02010601030101010101"/>
    <w:charset w:val="86"/>
    <w:family w:val="auto"/>
    <w:pitch w:val="default"/>
    <w:sig w:usb0="00000001" w:usb1="080E0000" w:usb2="00000000" w:usb3="00000000" w:csb0="00040000" w:csb1="00000000"/>
  </w:font>
  <w:font w:name="叶根友特隶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方正兰亭大黑简体">
    <w:panose1 w:val="02000000000000000000"/>
    <w:charset w:val="86"/>
    <w:family w:val="auto"/>
    <w:pitch w:val="default"/>
    <w:sig w:usb0="00000001" w:usb1="08000000" w:usb2="00000000" w:usb3="00000000" w:csb0="00040000" w:csb1="00000000"/>
  </w:font>
  <w:font w:name="方正兰亭特黑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超细黑_GBK">
    <w:panose1 w:val="020B0300000000000000"/>
    <w:charset w:val="86"/>
    <w:family w:val="auto"/>
    <w:pitch w:val="default"/>
    <w:sig w:usb0="00000001" w:usb1="080F1810" w:usb2="00000016" w:usb3="00000000" w:csb0="00060007" w:csb1="00000000"/>
  </w:font>
  <w:font w:name="方正准圆繁体">
    <w:panose1 w:val="03000509000000000000"/>
    <w:charset w:val="86"/>
    <w:family w:val="auto"/>
    <w:pitch w:val="default"/>
    <w:sig w:usb0="00000001" w:usb1="080E0000" w:usb2="00000000" w:usb3="00000000" w:csb0="00040000" w:csb1="00000000"/>
  </w:font>
  <w:font w:name="方正准雅宋_GBK">
    <w:panose1 w:val="02000000000000000000"/>
    <w:charset w:val="86"/>
    <w:family w:val="auto"/>
    <w:pitch w:val="default"/>
    <w:sig w:usb0="00000001" w:usb1="0800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923DC"/>
    <w:rsid w:val="003209B1"/>
    <w:rsid w:val="00555669"/>
    <w:rsid w:val="00AB64B8"/>
    <w:rsid w:val="00CD4C80"/>
    <w:rsid w:val="00DB0520"/>
    <w:rsid w:val="00E02576"/>
    <w:rsid w:val="00F85D76"/>
    <w:rsid w:val="064A3009"/>
    <w:rsid w:val="072A4177"/>
    <w:rsid w:val="0772224A"/>
    <w:rsid w:val="164A6CCF"/>
    <w:rsid w:val="16877034"/>
    <w:rsid w:val="22047AB3"/>
    <w:rsid w:val="2E7167A2"/>
    <w:rsid w:val="303910BD"/>
    <w:rsid w:val="31805BCE"/>
    <w:rsid w:val="371D61EE"/>
    <w:rsid w:val="37B83E6E"/>
    <w:rsid w:val="439E3233"/>
    <w:rsid w:val="54B91FE2"/>
    <w:rsid w:val="5E7FE33E"/>
    <w:rsid w:val="603E17B1"/>
    <w:rsid w:val="642B40D9"/>
    <w:rsid w:val="6DA12754"/>
    <w:rsid w:val="71D70B7F"/>
    <w:rsid w:val="72A54AF9"/>
    <w:rsid w:val="77E923DC"/>
    <w:rsid w:val="7B4004EE"/>
    <w:rsid w:val="7F3F6C73"/>
    <w:rsid w:val="EEDA3A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5"/>
    <w:qFormat/>
    <w:uiPriority w:val="0"/>
    <w:pPr>
      <w:snapToGrid w:val="0"/>
      <w:jc w:val="left"/>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font71"/>
    <w:basedOn w:val="7"/>
    <w:qFormat/>
    <w:uiPriority w:val="0"/>
    <w:rPr>
      <w:rFonts w:hint="eastAsia" w:ascii="仿宋_GB2312" w:eastAsia="仿宋_GB2312" w:cs="仿宋_GB2312"/>
      <w:color w:val="000000"/>
      <w:sz w:val="26"/>
      <w:szCs w:val="26"/>
      <w:u w:val="none"/>
    </w:rPr>
  </w:style>
  <w:style w:type="character" w:customStyle="1" w:styleId="13">
    <w:name w:val="font31"/>
    <w:basedOn w:val="7"/>
    <w:qFormat/>
    <w:uiPriority w:val="0"/>
    <w:rPr>
      <w:rFonts w:hint="eastAsia" w:ascii="仿宋_GB2312" w:eastAsia="仿宋_GB2312" w:cs="仿宋_GB2312"/>
      <w:color w:val="000000"/>
      <w:sz w:val="26"/>
      <w:szCs w:val="26"/>
      <w:u w:val="none"/>
    </w:rPr>
  </w:style>
  <w:style w:type="character" w:customStyle="1" w:styleId="14">
    <w:name w:val="font81"/>
    <w:basedOn w:val="7"/>
    <w:qFormat/>
    <w:uiPriority w:val="0"/>
    <w:rPr>
      <w:rFonts w:hint="eastAsia" w:ascii="宋体" w:hAnsi="宋体" w:eastAsia="宋体" w:cs="宋体"/>
      <w:color w:val="000000"/>
      <w:sz w:val="26"/>
      <w:szCs w:val="26"/>
      <w:u w:val="none"/>
    </w:rPr>
  </w:style>
  <w:style w:type="character" w:customStyle="1" w:styleId="15">
    <w:name w:val="font41"/>
    <w:basedOn w:val="7"/>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Home</Company>
  <Pages>1</Pages>
  <Words>51</Words>
  <Characters>296</Characters>
  <Lines>2</Lines>
  <Paragraphs>1</Paragraphs>
  <ScaleCrop>false</ScaleCrop>
  <LinksUpToDate>false</LinksUpToDate>
  <CharactersWithSpaces>346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2023-05-05T18:40:00Z</dcterms:created>
  <dc:creator>胥玮</dc:creator>
  <cp:lastModifiedBy>LTGX04</cp:lastModifiedBy>
  <cp:lastPrinted>2023-05-05T23:20:00Z</cp:lastPrinted>
  <dcterms:modified xsi:type="dcterms:W3CDTF">2023-05-06T07:43:52Z</dcterms:modified>
  <dc:title>山东省人力资源和社会保障厅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