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right"/>
        <w:rPr>
          <w:rFonts w:hint="eastAsia" w:ascii="仿宋_GB2312" w:hAnsi="仿宋_GB2312" w:eastAsia="仿宋_GB2312" w:cs="仿宋_GB2312"/>
          <w:color w:val="auto"/>
          <w:sz w:val="32"/>
          <w:szCs w:val="32"/>
        </w:rPr>
      </w:pPr>
      <w:bookmarkStart w:id="0" w:name="_GoBack"/>
    </w:p>
    <w:p>
      <w:pPr>
        <w:pStyle w:val="9"/>
        <w:ind w:firstLine="392"/>
        <w:jc w:val="right"/>
        <w:rPr>
          <w:rFonts w:hint="eastAsia" w:ascii="仿宋_GB2312" w:hAnsi="仿宋_GB2312" w:eastAsia="仿宋_GB2312" w:cs="仿宋_GB2312"/>
          <w:color w:val="auto"/>
          <w:sz w:val="32"/>
          <w:szCs w:val="32"/>
        </w:rPr>
      </w:pPr>
    </w:p>
    <w:p>
      <w:pPr>
        <w:pStyle w:val="1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鲁人社函〔</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66号</w:t>
      </w:r>
    </w:p>
    <w:p>
      <w:pPr>
        <w:pStyle w:val="10"/>
        <w:jc w:val="right"/>
        <w:rPr>
          <w:rFonts w:hint="eastAsia" w:ascii="仿宋_GB2312" w:hAnsi="仿宋_GB2312" w:eastAsia="仿宋_GB2312" w:cs="仿宋_GB2312"/>
          <w:color w:val="auto"/>
          <w:sz w:val="32"/>
          <w:szCs w:val="32"/>
          <w:lang w:val="en-US" w:eastAsia="zh-CN"/>
        </w:rPr>
      </w:pP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山东省人力资源和社会保障厅关于印发在全省开展商圈楼宇、新就业形态劳动争议调解</w:t>
      </w: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组织规范化建设专项行动方案的通知</w:t>
      </w:r>
    </w:p>
    <w:p>
      <w:pPr>
        <w:jc w:val="left"/>
        <w:rPr>
          <w:rFonts w:ascii="仿宋_GB2312" w:hAnsi="仿宋_GB2312" w:eastAsia="仿宋_GB2312" w:cs="仿宋_GB2312"/>
          <w:color w:val="auto"/>
          <w:szCs w:val="32"/>
        </w:rPr>
      </w:pPr>
    </w:p>
    <w:p>
      <w:pPr>
        <w:jc w:val="left"/>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各市人力资源社会保障局：</w:t>
      </w:r>
    </w:p>
    <w:p>
      <w:pPr>
        <w:ind w:firstLine="632" w:firstLineChars="200"/>
        <w:jc w:val="left"/>
        <w:rPr>
          <w:rFonts w:ascii="仿宋_GB2312" w:hAnsi="仿宋_GB2312" w:eastAsia="仿宋_GB2312" w:cs="仿宋_GB2312"/>
          <w:color w:val="auto"/>
          <w:szCs w:val="32"/>
        </w:rPr>
      </w:pPr>
      <w:r>
        <w:rPr>
          <w:rFonts w:hint="eastAsia" w:ascii="仿宋_GB2312" w:eastAsia="仿宋_GB2312"/>
          <w:color w:val="auto"/>
          <w:szCs w:val="32"/>
        </w:rPr>
        <w:t>现将</w:t>
      </w:r>
      <w:r>
        <w:rPr>
          <w:rFonts w:hint="eastAsia" w:ascii="仿宋_GB2312" w:hAnsi="仿宋_GB2312" w:eastAsia="仿宋_GB2312" w:cs="仿宋_GB2312"/>
          <w:color w:val="auto"/>
          <w:szCs w:val="32"/>
        </w:rPr>
        <w:t>《在全省开展商圈楼宇、新就业形态劳动争议调解组织规范化建设专项行动方案》印发给你们，请认真抓好组织实施。</w:t>
      </w:r>
    </w:p>
    <w:p>
      <w:pPr>
        <w:ind w:firstLine="632" w:firstLineChars="200"/>
        <w:jc w:val="left"/>
        <w:rPr>
          <w:rFonts w:ascii="仿宋_GB2312" w:hAnsi="仿宋_GB2312" w:eastAsia="仿宋_GB2312" w:cs="仿宋_GB2312"/>
          <w:color w:val="auto"/>
          <w:szCs w:val="32"/>
        </w:rPr>
      </w:pPr>
    </w:p>
    <w:p>
      <w:pPr>
        <w:pStyle w:val="9"/>
        <w:spacing w:line="240" w:lineRule="auto"/>
        <w:ind w:firstLine="392"/>
        <w:rPr>
          <w:color w:val="auto"/>
        </w:rPr>
      </w:pPr>
    </w:p>
    <w:p>
      <w:pPr>
        <w:ind w:firstLine="4108" w:firstLineChars="1300"/>
        <w:jc w:val="left"/>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Cs w:val="32"/>
        </w:rPr>
        <w:t>山东省人力资源和社会保障厅</w:t>
      </w:r>
    </w:p>
    <w:p>
      <w:pPr>
        <w:pStyle w:val="9"/>
        <w:spacing w:line="240" w:lineRule="auto"/>
        <w:rPr>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2023年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w:t>
      </w:r>
    </w:p>
    <w:p>
      <w:pPr>
        <w:pStyle w:val="9"/>
        <w:spacing w:line="240" w:lineRule="auto"/>
        <w:ind w:firstLine="632"/>
        <w:rPr>
          <w:rFonts w:ascii="黑体" w:hAnsi="黑体" w:eastAsia="黑体" w:cs="黑体"/>
          <w:color w:val="auto"/>
          <w:sz w:val="32"/>
          <w:szCs w:val="32"/>
        </w:rPr>
      </w:pPr>
    </w:p>
    <w:p>
      <w:pPr>
        <w:pStyle w:val="9"/>
        <w:spacing w:line="240" w:lineRule="auto"/>
        <w:ind w:firstLine="63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pStyle w:val="10"/>
        <w:ind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（联系单位：省人力资源社会保障厅调解仲裁管理处、省劳动人事争议仲裁院）</w:t>
      </w:r>
    </w:p>
    <w:p>
      <w:pPr>
        <w:pStyle w:val="10"/>
        <w:ind w:firstLine="632" w:firstLineChars="200"/>
        <w:rPr>
          <w:rFonts w:ascii="仿宋_GB2312" w:hAnsi="仿宋_GB2312" w:eastAsia="仿宋_GB2312" w:cs="仿宋_GB2312"/>
          <w:color w:val="auto"/>
          <w:sz w:val="32"/>
          <w:szCs w:val="32"/>
        </w:rPr>
      </w:pPr>
    </w:p>
    <w:p>
      <w:pPr>
        <w:pStyle w:val="10"/>
        <w:ind w:firstLine="632" w:firstLineChars="200"/>
        <w:rPr>
          <w:rFonts w:ascii="仿宋_GB2312" w:hAnsi="仿宋_GB2312" w:eastAsia="仿宋_GB2312" w:cs="仿宋_GB2312"/>
          <w:color w:val="auto"/>
          <w:sz w:val="32"/>
          <w:szCs w:val="32"/>
        </w:rPr>
      </w:pPr>
    </w:p>
    <w:p>
      <w:pPr>
        <w:pStyle w:val="10"/>
        <w:ind w:firstLine="632" w:firstLineChars="200"/>
        <w:rPr>
          <w:rFonts w:ascii="仿宋_GB2312" w:hAnsi="仿宋_GB2312" w:eastAsia="仿宋_GB2312" w:cs="仿宋_GB2312"/>
          <w:color w:val="auto"/>
          <w:sz w:val="32"/>
          <w:szCs w:val="32"/>
        </w:rPr>
      </w:pPr>
    </w:p>
    <w:p>
      <w:pPr>
        <w:pStyle w:val="10"/>
        <w:spacing w:line="560" w:lineRule="exact"/>
        <w:jc w:val="center"/>
        <w:rPr>
          <w:rFonts w:ascii="方正小标宋简体" w:hAnsi="方正小标宋简体" w:eastAsia="方正小标宋简体" w:cs="方正小标宋简体"/>
          <w:color w:val="auto"/>
          <w:sz w:val="44"/>
          <w:szCs w:val="44"/>
        </w:rPr>
      </w:pPr>
    </w:p>
    <w:p>
      <w:pPr>
        <w:pStyle w:val="1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在全省开展商圈楼宇、新就业形态</w:t>
      </w:r>
    </w:p>
    <w:p>
      <w:pPr>
        <w:pStyle w:val="1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劳动争议调解组织规范化建设专项行动方案</w:t>
      </w:r>
    </w:p>
    <w:p>
      <w:pPr>
        <w:pStyle w:val="10"/>
        <w:spacing w:line="560" w:lineRule="exact"/>
        <w:jc w:val="center"/>
        <w:rPr>
          <w:rFonts w:ascii="方正小标宋简体" w:hAnsi="方正小标宋简体" w:eastAsia="方正小标宋简体" w:cs="方正小标宋简体"/>
          <w:color w:val="auto"/>
          <w:sz w:val="44"/>
          <w:szCs w:val="44"/>
        </w:rPr>
      </w:pPr>
    </w:p>
    <w:p>
      <w:pPr>
        <w:pStyle w:val="9"/>
        <w:spacing w:line="240" w:lineRule="auto"/>
        <w:ind w:firstLine="632"/>
        <w:rPr>
          <w:rFonts w:ascii="仿宋_GB2312" w:eastAsia="仿宋_GB2312"/>
          <w:color w:val="auto"/>
          <w:sz w:val="32"/>
          <w:szCs w:val="32"/>
        </w:rPr>
      </w:pPr>
      <w:r>
        <w:rPr>
          <w:rFonts w:hint="eastAsia" w:ascii="仿宋_GB2312" w:eastAsia="仿宋_GB2312"/>
          <w:color w:val="auto"/>
          <w:sz w:val="32"/>
          <w:szCs w:val="32"/>
        </w:rPr>
        <w:t>为全面加强商圈楼宇、新就业形态劳动争议调解组织（以下简称两类调解组织）规范化建设，夯实组织建设、制度建设、队伍建设基础，优化工作作风，提升两类调解组织工作质效和社会公信力，依法及时有效维护新经济、新就业形态劳动者劳动保障权益，决定在全省开展两类调解组织规范化建设专项行动。</w:t>
      </w:r>
      <w:r>
        <w:rPr>
          <w:rFonts w:hint="eastAsia" w:ascii="仿宋_GB2312" w:hAnsi="仿宋_GB2312" w:eastAsia="仿宋_GB2312" w:cs="仿宋_GB2312"/>
          <w:color w:val="auto"/>
          <w:sz w:val="32"/>
          <w:szCs w:val="32"/>
        </w:rPr>
        <w:t>制定</w:t>
      </w:r>
      <w:r>
        <w:rPr>
          <w:rFonts w:hint="eastAsia" w:ascii="仿宋_GB2312" w:eastAsia="仿宋_GB2312"/>
          <w:color w:val="auto"/>
          <w:sz w:val="32"/>
          <w:szCs w:val="32"/>
        </w:rPr>
        <w:t xml:space="preserve">专项行动方案如下。 </w:t>
      </w:r>
    </w:p>
    <w:p>
      <w:pPr>
        <w:pStyle w:val="9"/>
        <w:spacing w:line="240" w:lineRule="auto"/>
        <w:ind w:firstLine="632"/>
        <w:rPr>
          <w:rFonts w:ascii="黑体" w:hAnsi="黑体" w:eastAsia="黑体" w:cs="黑体"/>
          <w:color w:val="auto"/>
          <w:sz w:val="32"/>
          <w:szCs w:val="32"/>
        </w:rPr>
      </w:pPr>
      <w:r>
        <w:rPr>
          <w:rFonts w:hint="eastAsia" w:ascii="黑体" w:hAnsi="黑体" w:eastAsia="黑体" w:cs="黑体"/>
          <w:color w:val="auto"/>
          <w:sz w:val="32"/>
          <w:szCs w:val="32"/>
        </w:rPr>
        <w:t>一、总体要求</w:t>
      </w:r>
    </w:p>
    <w:p>
      <w:pPr>
        <w:pStyle w:val="10"/>
        <w:ind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按照《人力资源社会保障部办公厅关于印发基层劳动人事争议调解工作规范的通知》（人社厅发〔2014〕30号）、《人力资源社会保障部等9部门关于进一步加强劳动人事争议协商调解工作的意见》（人社部发〔2022〕71号）</w:t>
      </w:r>
      <w:r>
        <w:rPr>
          <w:rFonts w:hint="default"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rPr>
        <w:t>要求，聚焦近年来各地新成立、规范化建设起步较晚、存在明显短板的的两类调解组织，以规范化建设专项行动为抓手和突破口，纲举目张、整体带动、破解难题，实现在较短时间内快速提升两类调解组织整体效能的目标。</w:t>
      </w:r>
    </w:p>
    <w:p>
      <w:pPr>
        <w:pStyle w:val="9"/>
        <w:numPr>
          <w:ilvl w:val="0"/>
          <w:numId w:val="1"/>
        </w:numPr>
        <w:spacing w:line="240" w:lineRule="auto"/>
        <w:ind w:firstLine="632"/>
        <w:rPr>
          <w:rFonts w:ascii="黑体" w:hAnsi="黑体" w:eastAsia="黑体" w:cs="黑体"/>
          <w:color w:val="auto"/>
          <w:sz w:val="32"/>
          <w:szCs w:val="32"/>
        </w:rPr>
      </w:pPr>
      <w:r>
        <w:rPr>
          <w:rFonts w:hint="eastAsia" w:ascii="黑体" w:hAnsi="黑体" w:eastAsia="黑体" w:cs="黑体"/>
          <w:color w:val="auto"/>
          <w:sz w:val="32"/>
          <w:szCs w:val="32"/>
        </w:rPr>
        <w:t>时间安排</w:t>
      </w:r>
    </w:p>
    <w:p>
      <w:pPr>
        <w:pStyle w:val="10"/>
        <w:ind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2023年8月至12月。</w:t>
      </w:r>
    </w:p>
    <w:p>
      <w:pPr>
        <w:pStyle w:val="10"/>
        <w:numPr>
          <w:ilvl w:val="0"/>
          <w:numId w:val="1"/>
        </w:numPr>
        <w:ind w:firstLine="632" w:firstLineChars="200"/>
        <w:rPr>
          <w:rFonts w:hAnsi="黑体"/>
          <w:color w:val="auto"/>
          <w:sz w:val="32"/>
          <w:szCs w:val="32"/>
        </w:rPr>
      </w:pPr>
      <w:r>
        <w:rPr>
          <w:rFonts w:hint="eastAsia" w:hAnsi="黑体"/>
          <w:color w:val="auto"/>
          <w:sz w:val="32"/>
          <w:szCs w:val="32"/>
        </w:rPr>
        <w:t>重点任务</w:t>
      </w:r>
    </w:p>
    <w:p>
      <w:pPr>
        <w:pStyle w:val="10"/>
        <w:numPr>
          <w:ilvl w:val="255"/>
          <w:numId w:val="0"/>
        </w:numPr>
        <w:rPr>
          <w:rFonts w:hAnsi="黑体"/>
          <w:color w:val="auto"/>
          <w:sz w:val="32"/>
          <w:szCs w:val="32"/>
        </w:rPr>
      </w:pPr>
      <w:r>
        <w:rPr>
          <w:rFonts w:hint="eastAsia" w:hAnsi="黑体"/>
          <w:color w:val="auto"/>
          <w:sz w:val="32"/>
          <w:szCs w:val="32"/>
        </w:rPr>
        <w:t xml:space="preserve">  </w:t>
      </w:r>
      <w:r>
        <w:rPr>
          <w:rFonts w:hint="eastAsia" w:hAnsi="黑体"/>
          <w:color w:val="auto"/>
          <w:sz w:val="32"/>
          <w:szCs w:val="32"/>
          <w:lang w:val="en-US" w:eastAsia="zh-CN"/>
        </w:rPr>
        <w:t xml:space="preserve"> </w:t>
      </w:r>
      <w:r>
        <w:rPr>
          <w:rFonts w:hint="eastAsia" w:hAnsi="黑体"/>
          <w:color w:val="auto"/>
          <w:sz w:val="32"/>
          <w:szCs w:val="32"/>
        </w:rPr>
        <w:t xml:space="preserve"> </w:t>
      </w:r>
      <w:r>
        <w:rPr>
          <w:rFonts w:hint="eastAsia" w:ascii="楷体_GB2312" w:hAnsi="楷体_GB2312" w:eastAsia="楷体_GB2312" w:cs="楷体_GB2312"/>
          <w:color w:val="auto"/>
          <w:sz w:val="32"/>
          <w:szCs w:val="32"/>
        </w:rPr>
        <w:t>（一）规范两类调解组织名称和场所设置。</w:t>
      </w:r>
      <w:r>
        <w:rPr>
          <w:rFonts w:hint="eastAsia" w:ascii="仿宋_GB2312" w:hAnsi="仿宋_GB2312" w:eastAsia="仿宋_GB2312" w:cs="仿宋_GB2312"/>
          <w:color w:val="auto"/>
          <w:sz w:val="32"/>
          <w:szCs w:val="32"/>
        </w:rPr>
        <w:t>为两类调解组织配置固定的工作场所，设置专门的调解室，配备调解桌椅，摆放调解员和当事人桌牌，配备计算机、打印机等设备；配备独立的档案室或在相应的档案室中划出专用区域，配置专用档案柜。对商圈楼宇劳动争议调解组织名称一般按“所属商圈楼宇名称+劳动争议调解委员会”命名；对新就业形态劳动争议调解组织的命名，属行业性劳动争议调解组织的，一般按“所属行业名称+劳动争议调解委员会”命名；属区域性劳动争议调解组织的，一般按“所属区域名称+劳动争议调解委员会”命名；属单个新就业形态企业的，按“企业名称+劳动争议调解委员会”命名。</w:t>
      </w:r>
    </w:p>
    <w:p>
      <w:pPr>
        <w:pStyle w:val="10"/>
        <w:ind w:firstLine="632"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（二）规范两类调解组织工作职责。</w:t>
      </w:r>
      <w:r>
        <w:rPr>
          <w:rFonts w:hint="eastAsia" w:ascii="仿宋_GB2312" w:hAnsi="仿宋_GB2312" w:eastAsia="仿宋_GB2312" w:cs="仿宋_GB2312"/>
          <w:color w:val="auto"/>
          <w:sz w:val="32"/>
          <w:szCs w:val="32"/>
        </w:rPr>
        <w:t>引导两类调解组织积极宣传人力资源社会保障法律法规政策，深化劳动争议源头治理。培育劳动者协商意识，完善用人单位劳动争议内部申诉、协商回应制度，积极引导协商化解劳动争议。健全完善调解组织各项制度，依法依规调处管辖范围内的劳动争议、监督和解协议及调解协议的履行、聘任解聘及管理调解员。积极参与协调履行劳动合同、聘用合同、集体合同和执行用人单位规章制度等方面出现的问题，参与研究涉及劳动者切身利益的重大方案。积极协助相关商圈楼宇、行业、区域或企业建立劳动争议预防预警机制。</w:t>
      </w:r>
    </w:p>
    <w:p>
      <w:pPr>
        <w:pStyle w:val="10"/>
        <w:ind w:firstLine="632"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（三）规范两类调解组织工作程序。</w:t>
      </w:r>
      <w:r>
        <w:rPr>
          <w:rFonts w:hint="eastAsia" w:ascii="仿宋_GB2312" w:hAnsi="仿宋_GB2312" w:eastAsia="仿宋_GB2312" w:cs="仿宋_GB2312"/>
          <w:color w:val="auto"/>
          <w:sz w:val="32"/>
          <w:szCs w:val="32"/>
        </w:rPr>
        <w:t>对申请人提交的调解申请书及相关材料，调解员经认真细致检查后，不完整的应一次性告知申请人补全。对接到的符合调解受理范围的调解申请，调解组织应征求另一方当事人的调解意愿，愿意调解的，应在三个工作日内作出受理决定；不愿意调解的，应告知当事人依法申请仲裁。在调解中，调解员应介绍调解参加人的情况、调解原则、调解纪律及双方当事人的权利义务，充分听取双方当事人对争议事实和理由的陈述。对经调解达成协议的，应制作调解协议书。</w:t>
      </w:r>
    </w:p>
    <w:p>
      <w:pPr>
        <w:pStyle w:val="10"/>
        <w:ind w:firstLine="632" w:firstLineChars="200"/>
        <w:rPr>
          <w:rFonts w:hAnsi="黑体"/>
          <w:color w:val="auto"/>
          <w:sz w:val="32"/>
          <w:szCs w:val="32"/>
        </w:rPr>
      </w:pPr>
      <w:r>
        <w:rPr>
          <w:rFonts w:hint="eastAsia" w:ascii="楷体_GB2312" w:hAnsi="楷体_GB2312" w:eastAsia="楷体_GB2312" w:cs="楷体_GB2312"/>
          <w:color w:val="auto"/>
          <w:sz w:val="32"/>
          <w:szCs w:val="32"/>
        </w:rPr>
        <w:t>（四）规范两类调解组织调解员证书申领和调解员行为。</w:t>
      </w:r>
      <w:r>
        <w:rPr>
          <w:rFonts w:hint="eastAsia" w:ascii="仿宋_GB2312" w:hAnsi="仿宋_GB2312" w:eastAsia="仿宋_GB2312" w:cs="仿宋_GB2312"/>
          <w:color w:val="auto"/>
          <w:sz w:val="32"/>
          <w:szCs w:val="32"/>
        </w:rPr>
        <w:t>两类调解组织专兼职从事调解工作的成年公民可申领调解员证书，申领人应公道正派、联系群众、热心调解工作，并具有一定的法律知识、政策水平和文化水平；调解员应持有效调解员证书上岗开展调解工作。调解员要依法调解，坚持自愿、合法、公正、及时的原则，以事实为依据，以法律为准绳，履行居中调解职责；要爱岗敬业，热爱调解工作，注重业务学习，以维护劳动争议双方当事人权益为己任，恪尽职守，甘于奉献；要热情服务，工作主动、耐心、细致、周到，仪表整洁、语言文明、举止得体、态度诚恳；要保守秘密，不得泄露调解工作中获取的商业秘密、个人隐私等；要廉洁自律，不得收受、索取财物或者牟取不正当利益，不得为当事人介绍劳动争议仲裁、诉讼代理人。</w:t>
      </w:r>
    </w:p>
    <w:p>
      <w:pPr>
        <w:pStyle w:val="10"/>
        <w:ind w:firstLine="632"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（五）规范两类调解组织基本信息公布。</w:t>
      </w:r>
      <w:r>
        <w:rPr>
          <w:rFonts w:hint="eastAsia" w:ascii="仿宋_GB2312" w:hAnsi="仿宋_GB2312" w:eastAsia="仿宋_GB2312" w:cs="仿宋_GB2312"/>
          <w:color w:val="auto"/>
          <w:sz w:val="32"/>
          <w:szCs w:val="32"/>
        </w:rPr>
        <w:t>将两类调解组织调解标识、工作程序、工作职责和调解员行为规范在办公场所的显著位置上墙公布，上墙公布的内容应清晰、醒目。有条件的可将上述工作规范及调解组织地址、联系方式等信息制成维权手册、服务指南、联系卡片等材料，在商圈楼宇、新就业形态劳动者集中的行业、区域、企业或有关人力资源社会保障服务窗口发放，或在相关网络平台发布。</w:t>
      </w:r>
    </w:p>
    <w:p>
      <w:pPr>
        <w:ind w:firstLine="632" w:firstLineChars="200"/>
        <w:rPr>
          <w:rFonts w:ascii="仿宋_GB2312" w:hAnsi="仿宋_GB2312" w:eastAsia="仿宋_GB2312" w:cs="仿宋_GB2312"/>
          <w:color w:val="auto"/>
          <w:szCs w:val="32"/>
        </w:rPr>
      </w:pPr>
      <w:r>
        <w:rPr>
          <w:rFonts w:hint="eastAsia" w:ascii="楷体_GB2312" w:hAnsi="楷体_GB2312" w:eastAsia="楷体_GB2312" w:cs="楷体_GB2312"/>
          <w:color w:val="auto"/>
          <w:szCs w:val="32"/>
        </w:rPr>
        <w:t>（六）规范两类调解组织法律法规适用。</w:t>
      </w:r>
      <w:r>
        <w:rPr>
          <w:rFonts w:hint="eastAsia" w:ascii="仿宋_GB2312" w:hAnsi="仿宋_GB2312" w:eastAsia="仿宋_GB2312" w:cs="仿宋_GB2312"/>
          <w:color w:val="auto"/>
          <w:szCs w:val="32"/>
        </w:rPr>
        <w:t>两类调解组织要积极参与全省常态化开展的“送法进企业”活动，加强相关劳动争议典型案例研学，依照国家明确的确认劳动关系等法律法规政策适用标准处理新就业形态劳动争议。积极向当地省级调解专家库入库专家学习取经，充分听取省级调解专家在重大、疑难和复杂争议调处方面的专业意见。积极“走出去”参加调解员培训班，通过参加系统班次学习，准确把握劳动争议调处形势与任务、疑难问题及热点焦点、调处技巧等。积极扩大兼职调解员来源渠道，广泛吸纳法学专家、仲裁员、律师、劳动关系协调员（师）、退休法官、退休检察官等专业力量。</w:t>
      </w:r>
    </w:p>
    <w:p>
      <w:pPr>
        <w:pStyle w:val="10"/>
        <w:ind w:firstLine="632"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（七）规范两类调解组织调解协议书。</w:t>
      </w:r>
      <w:r>
        <w:rPr>
          <w:rFonts w:hint="eastAsia" w:ascii="仿宋_GB2312" w:hAnsi="仿宋_GB2312" w:eastAsia="仿宋_GB2312" w:cs="仿宋_GB2312"/>
          <w:color w:val="auto"/>
          <w:sz w:val="32"/>
          <w:szCs w:val="32"/>
        </w:rPr>
        <w:t>调解协议书应由双方当事人签名或盖章，并由调解员签名，加盖调解组织印章后生效。调解协议书应一式三份，双方当事人和调解组织各执一份。调解协议书应写明双方当事人基本情况、双方达成的协议（应明确、具体）、双方履行自己义务的方式和期限以及其他应说明的事项。调解协议书应告知双方当事人可以自调解协议生效之日起十五日内，共同向有管辖权的劳动人事争议仲裁委员会提出仲裁审查申请；并告知如一方当事人在约定期限内不履行的，当事人可以向有管辖权劳动人事争议仲裁委员会申请仲裁。</w:t>
      </w:r>
    </w:p>
    <w:p>
      <w:pPr>
        <w:pStyle w:val="10"/>
        <w:ind w:firstLine="632"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（八）规范两类调解组织劳动争议案件和协商化解争议情况统计。</w:t>
      </w:r>
      <w:r>
        <w:rPr>
          <w:rFonts w:hint="eastAsia" w:ascii="仿宋_GB2312" w:hAnsi="仿宋_GB2312" w:eastAsia="仿宋_GB2312" w:cs="仿宋_GB2312"/>
          <w:color w:val="auto"/>
          <w:sz w:val="32"/>
          <w:szCs w:val="32"/>
        </w:rPr>
        <w:t>加强全口径调解组织案件和协商化解争议情况统计，两类调解组织应全部纳入统计上报范围。纳入统计的劳动争议案件，须有签订的调解协议书。对调解组织协商化解争议情况实施常态化按季度上报，主要包括本调解组织及相关工会引导签订和解协议数、当事人双方非经引导直接签订和解协议数，上报的签订和解协议数，须有签订的和解协议书（不含调解协议书）并已建立协商档案。以上所称签订的调解协议书、和解协议书均要确保可查证。</w:t>
      </w:r>
    </w:p>
    <w:p>
      <w:pPr>
        <w:pStyle w:val="9"/>
        <w:spacing w:line="240" w:lineRule="auto"/>
        <w:ind w:firstLine="632"/>
        <w:rPr>
          <w:rFonts w:ascii="黑体" w:hAnsi="黑体" w:eastAsia="黑体" w:cs="黑体"/>
          <w:color w:val="auto"/>
          <w:sz w:val="32"/>
          <w:szCs w:val="32"/>
        </w:rPr>
      </w:pPr>
      <w:r>
        <w:rPr>
          <w:rFonts w:hint="eastAsia" w:ascii="黑体" w:hAnsi="黑体" w:eastAsia="黑体" w:cs="黑体"/>
          <w:color w:val="auto"/>
          <w:sz w:val="32"/>
          <w:szCs w:val="32"/>
        </w:rPr>
        <w:t>四、工作要求</w:t>
      </w:r>
    </w:p>
    <w:p>
      <w:pPr>
        <w:pStyle w:val="10"/>
        <w:ind w:firstLine="632"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（一）提高思想认识。</w:t>
      </w:r>
      <w:r>
        <w:rPr>
          <w:rFonts w:hint="eastAsia" w:ascii="仿宋_GB2312" w:hAnsi="仿宋_GB2312" w:eastAsia="仿宋_GB2312" w:cs="仿宋_GB2312"/>
          <w:color w:val="auto"/>
          <w:sz w:val="32"/>
          <w:szCs w:val="32"/>
        </w:rPr>
        <w:t>各地要充分认识开展专项行动的重大意义，将其作为落实在全党大兴调查研究、破解调解仲裁事业高质量发展制约因素的实际举措，增强参与专项行动的积极性、主动性、创造性，确保圆满完成各项任务。</w:t>
      </w:r>
    </w:p>
    <w:p>
      <w:pPr>
        <w:pStyle w:val="10"/>
        <w:ind w:firstLine="632"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（二）抓好重点任务落实。</w:t>
      </w:r>
      <w:r>
        <w:rPr>
          <w:rFonts w:hint="eastAsia" w:ascii="仿宋_GB2312" w:hAnsi="仿宋_GB2312" w:eastAsia="仿宋_GB2312" w:cs="仿宋_GB2312"/>
          <w:color w:val="auto"/>
          <w:sz w:val="32"/>
          <w:szCs w:val="32"/>
        </w:rPr>
        <w:t>各地要发扬“严真细实快”作风，在前期上下联动开展调研的基础上，在专项行动中进一步深入开展调研，准确把握基层实情和愿景，</w:t>
      </w:r>
      <w:r>
        <w:rPr>
          <w:rFonts w:hint="eastAsia" w:ascii="仿宋_GB2312" w:hAnsi="Arial" w:eastAsia="仿宋_GB2312" w:cs="Arial"/>
          <w:bCs/>
          <w:color w:val="auto"/>
          <w:sz w:val="32"/>
          <w:szCs w:val="32"/>
        </w:rPr>
        <w:t>把情况摸清、把问题找准、把对策落实。</w:t>
      </w:r>
      <w:r>
        <w:rPr>
          <w:rFonts w:hint="eastAsia" w:ascii="仿宋_GB2312" w:hAnsi="仿宋_GB2312" w:eastAsia="仿宋_GB2312" w:cs="仿宋_GB2312"/>
          <w:color w:val="auto"/>
          <w:sz w:val="32"/>
          <w:szCs w:val="32"/>
        </w:rPr>
        <w:t>要建立两类调解组织落实重点任务清单、进度台帐和规范化建设长效机制，切实将专项行动引向深入</w:t>
      </w:r>
      <w:r>
        <w:rPr>
          <w:rFonts w:hint="eastAsia" w:ascii="仿宋_GB2312" w:hAnsi="Arial" w:eastAsia="仿宋_GB2312" w:cs="Arial"/>
          <w:bCs/>
          <w:color w:val="auto"/>
          <w:sz w:val="32"/>
          <w:szCs w:val="32"/>
        </w:rPr>
        <w:t>。</w:t>
      </w:r>
    </w:p>
    <w:p>
      <w:pPr>
        <w:ind w:firstLine="632" w:firstLineChars="200"/>
        <w:rPr>
          <w:rFonts w:ascii="仿宋_GB2312" w:eastAsia="仿宋_GB2312"/>
          <w:color w:val="auto"/>
          <w:szCs w:val="32"/>
        </w:rPr>
      </w:pPr>
      <w:r>
        <w:rPr>
          <w:rFonts w:hint="eastAsia" w:ascii="楷体_GB2312" w:hAnsi="楷体_GB2312" w:eastAsia="楷体_GB2312" w:cs="楷体_GB2312"/>
          <w:color w:val="auto"/>
          <w:szCs w:val="32"/>
        </w:rPr>
        <w:t>（三）带动提升整体效能。</w:t>
      </w:r>
      <w:r>
        <w:rPr>
          <w:rFonts w:hint="eastAsia" w:ascii="仿宋_GB2312" w:hAnsi="仿宋_GB2312" w:eastAsia="仿宋_GB2312" w:cs="仿宋_GB2312"/>
          <w:color w:val="auto"/>
          <w:szCs w:val="32"/>
        </w:rPr>
        <w:t>各地要积极争取党委、政府支持，尽可能在商圈楼宇、新就业形态党建平台加载两类调解组织功能，加强与相关行业部门联动，发挥资源优势，打造特色品牌。坚持党建引领两类调解组织规范化建设，以规范化建设带动标准化、专业化、信息化建设，切实提升两类调解组织工作质效和社会公信力，更好维护新经济、新就业形态劳动关系和谐稳定。</w:t>
      </w:r>
    </w:p>
    <w:p>
      <w:pPr>
        <w:ind w:firstLine="632" w:firstLineChars="200"/>
        <w:rPr>
          <w:rFonts w:ascii="楷体_GB2312" w:hAnsi="楷体_GB2312" w:eastAsia="楷体_GB2312" w:cs="楷体_GB2312"/>
          <w:color w:val="auto"/>
          <w:szCs w:val="32"/>
        </w:rPr>
      </w:pPr>
      <w:r>
        <w:rPr>
          <w:rFonts w:hint="eastAsia" w:ascii="楷体_GB2312" w:hAnsi="楷体_GB2312" w:eastAsia="楷体_GB2312" w:cs="楷体_GB2312"/>
          <w:color w:val="auto"/>
          <w:szCs w:val="32"/>
        </w:rPr>
        <w:t>（四）全面总结宣传。</w:t>
      </w:r>
      <w:r>
        <w:rPr>
          <w:rFonts w:hint="eastAsia" w:ascii="仿宋_GB2312" w:hAnsi="仿宋_GB2312" w:eastAsia="仿宋_GB2312" w:cs="仿宋_GB2312"/>
          <w:color w:val="auto"/>
          <w:szCs w:val="32"/>
        </w:rPr>
        <w:t>省厅适时组织实地调研指导。对专项行动开展情况和工作成效进行总结，对在专项行动中表现突出的两类调解组织及其经验做法进行宣传推广，切实发挥好示范引领作用。</w:t>
      </w:r>
    </w:p>
    <w:p>
      <w:pPr>
        <w:pStyle w:val="10"/>
        <w:ind w:left="1579"/>
        <w:rPr>
          <w:rFonts w:ascii="仿宋_GB2312" w:hAnsi="仿宋_GB2312" w:eastAsia="仿宋_GB2312" w:cs="仿宋_GB2312"/>
          <w:color w:val="auto"/>
          <w:sz w:val="32"/>
          <w:szCs w:val="32"/>
        </w:rPr>
      </w:pPr>
    </w:p>
    <w:p>
      <w:pPr>
        <w:pStyle w:val="10"/>
        <w:ind w:left="1579"/>
        <w:rPr>
          <w:rFonts w:ascii="仿宋_GB2312" w:hAnsi="仿宋_GB2312" w:eastAsia="仿宋_GB2312" w:cs="仿宋_GB2312"/>
          <w:color w:val="auto"/>
          <w:sz w:val="32"/>
          <w:szCs w:val="32"/>
        </w:rPr>
      </w:pPr>
    </w:p>
    <w:p>
      <w:pPr>
        <w:pStyle w:val="10"/>
        <w:ind w:firstLine="5056" w:firstLineChars="1600"/>
        <w:rPr>
          <w:rFonts w:ascii="仿宋_GB2312" w:hAnsi="仿宋_GB2312" w:eastAsia="仿宋_GB2312" w:cs="仿宋_GB2312"/>
          <w:color w:val="auto"/>
          <w:sz w:val="32"/>
          <w:szCs w:val="32"/>
        </w:rPr>
      </w:pPr>
    </w:p>
    <w:bookmarkEnd w:id="0"/>
    <w:sectPr>
      <w:footerReference r:id="rId3" w:type="default"/>
      <w:pgSz w:w="11906" w:h="16838"/>
      <w:pgMar w:top="2098" w:right="1531" w:bottom="1814" w:left="1531" w:header="851" w:footer="1587" w:gutter="0"/>
      <w:paperSrc/>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320" w:leftChars="100" w:right="32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ind w:left="320" w:leftChars="100" w:right="32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9EB61"/>
    <w:multiLevelType w:val="singleLevel"/>
    <w:tmpl w:val="A6D9EB6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MzBmMjcxOTA5YmQ2ZDkyOGQ5NzAwN2JhZTU2YmQifQ=="/>
  </w:docVars>
  <w:rsids>
    <w:rsidRoot w:val="004F7D20"/>
    <w:rsid w:val="0002138E"/>
    <w:rsid w:val="00042B38"/>
    <w:rsid w:val="0015523F"/>
    <w:rsid w:val="00224396"/>
    <w:rsid w:val="002316AA"/>
    <w:rsid w:val="002A63C7"/>
    <w:rsid w:val="002B2059"/>
    <w:rsid w:val="002C6784"/>
    <w:rsid w:val="002D7272"/>
    <w:rsid w:val="002E66BB"/>
    <w:rsid w:val="003F53FB"/>
    <w:rsid w:val="00427554"/>
    <w:rsid w:val="00433D21"/>
    <w:rsid w:val="004F7D20"/>
    <w:rsid w:val="00690E21"/>
    <w:rsid w:val="0079008A"/>
    <w:rsid w:val="007B39EB"/>
    <w:rsid w:val="007C56D8"/>
    <w:rsid w:val="007F3D4C"/>
    <w:rsid w:val="0081463A"/>
    <w:rsid w:val="00837870"/>
    <w:rsid w:val="00887F01"/>
    <w:rsid w:val="009208FE"/>
    <w:rsid w:val="0092273B"/>
    <w:rsid w:val="009C285F"/>
    <w:rsid w:val="00A61148"/>
    <w:rsid w:val="00A9642D"/>
    <w:rsid w:val="00BE5817"/>
    <w:rsid w:val="00C16EC3"/>
    <w:rsid w:val="00C826BC"/>
    <w:rsid w:val="00CC7713"/>
    <w:rsid w:val="00D6783A"/>
    <w:rsid w:val="00E24340"/>
    <w:rsid w:val="00E770AA"/>
    <w:rsid w:val="00E875B1"/>
    <w:rsid w:val="00F04B48"/>
    <w:rsid w:val="00F14DEF"/>
    <w:rsid w:val="00F27200"/>
    <w:rsid w:val="00F84370"/>
    <w:rsid w:val="00FB174D"/>
    <w:rsid w:val="00FC559D"/>
    <w:rsid w:val="011C7710"/>
    <w:rsid w:val="01C44A31"/>
    <w:rsid w:val="02050885"/>
    <w:rsid w:val="020D0B29"/>
    <w:rsid w:val="022218BD"/>
    <w:rsid w:val="023F3B86"/>
    <w:rsid w:val="026446E2"/>
    <w:rsid w:val="0289035B"/>
    <w:rsid w:val="02A31891"/>
    <w:rsid w:val="03967BEE"/>
    <w:rsid w:val="04127125"/>
    <w:rsid w:val="04210422"/>
    <w:rsid w:val="04727FE1"/>
    <w:rsid w:val="047C351D"/>
    <w:rsid w:val="052E35F4"/>
    <w:rsid w:val="053D70B5"/>
    <w:rsid w:val="058B0866"/>
    <w:rsid w:val="05F871B8"/>
    <w:rsid w:val="062C1D5D"/>
    <w:rsid w:val="06A607C9"/>
    <w:rsid w:val="06EB1A12"/>
    <w:rsid w:val="07203FA9"/>
    <w:rsid w:val="07340AC6"/>
    <w:rsid w:val="073C4D43"/>
    <w:rsid w:val="0743223C"/>
    <w:rsid w:val="07545C8B"/>
    <w:rsid w:val="07635DE6"/>
    <w:rsid w:val="07F04AC8"/>
    <w:rsid w:val="08047386"/>
    <w:rsid w:val="08176203"/>
    <w:rsid w:val="08F84E5E"/>
    <w:rsid w:val="091C0D16"/>
    <w:rsid w:val="0935321D"/>
    <w:rsid w:val="097D1072"/>
    <w:rsid w:val="09943AEB"/>
    <w:rsid w:val="09A2395F"/>
    <w:rsid w:val="09B61011"/>
    <w:rsid w:val="09BB7256"/>
    <w:rsid w:val="0A06175F"/>
    <w:rsid w:val="0A295928"/>
    <w:rsid w:val="0A5D1218"/>
    <w:rsid w:val="0AED2376"/>
    <w:rsid w:val="0B0C55F2"/>
    <w:rsid w:val="0B1C658E"/>
    <w:rsid w:val="0B1F2931"/>
    <w:rsid w:val="0B44025D"/>
    <w:rsid w:val="0B754F72"/>
    <w:rsid w:val="0B79038E"/>
    <w:rsid w:val="0BA17C1F"/>
    <w:rsid w:val="0BB65A16"/>
    <w:rsid w:val="0C0C349E"/>
    <w:rsid w:val="0C0F3981"/>
    <w:rsid w:val="0C2D6E19"/>
    <w:rsid w:val="0C3C311E"/>
    <w:rsid w:val="0C4A4B3E"/>
    <w:rsid w:val="0C6A2CB8"/>
    <w:rsid w:val="0CB4337E"/>
    <w:rsid w:val="0D5944C1"/>
    <w:rsid w:val="0F394399"/>
    <w:rsid w:val="0F5A0BEA"/>
    <w:rsid w:val="0F6D6DE5"/>
    <w:rsid w:val="0F936025"/>
    <w:rsid w:val="0FD236FF"/>
    <w:rsid w:val="103F5462"/>
    <w:rsid w:val="104665E4"/>
    <w:rsid w:val="1096579C"/>
    <w:rsid w:val="10994AD4"/>
    <w:rsid w:val="109E6570"/>
    <w:rsid w:val="10B176B0"/>
    <w:rsid w:val="11403FEC"/>
    <w:rsid w:val="116D1924"/>
    <w:rsid w:val="118C7CDA"/>
    <w:rsid w:val="11936DFC"/>
    <w:rsid w:val="11A14CF9"/>
    <w:rsid w:val="11BE767A"/>
    <w:rsid w:val="11CB47E7"/>
    <w:rsid w:val="123477AE"/>
    <w:rsid w:val="124E082C"/>
    <w:rsid w:val="124F58B0"/>
    <w:rsid w:val="12960AF6"/>
    <w:rsid w:val="12F401A5"/>
    <w:rsid w:val="13017BC5"/>
    <w:rsid w:val="132A04D1"/>
    <w:rsid w:val="13556521"/>
    <w:rsid w:val="1400150F"/>
    <w:rsid w:val="143D3FE3"/>
    <w:rsid w:val="14883CE4"/>
    <w:rsid w:val="149861AB"/>
    <w:rsid w:val="14BF0868"/>
    <w:rsid w:val="150548FA"/>
    <w:rsid w:val="150C0C26"/>
    <w:rsid w:val="156C532A"/>
    <w:rsid w:val="15701CF4"/>
    <w:rsid w:val="15B02CE1"/>
    <w:rsid w:val="15DB4C9A"/>
    <w:rsid w:val="16366922"/>
    <w:rsid w:val="166D0255"/>
    <w:rsid w:val="168C25A4"/>
    <w:rsid w:val="168D6ECE"/>
    <w:rsid w:val="16DC2229"/>
    <w:rsid w:val="171A2DCA"/>
    <w:rsid w:val="173C57C2"/>
    <w:rsid w:val="17811DFA"/>
    <w:rsid w:val="17AC7F9C"/>
    <w:rsid w:val="17E47F4A"/>
    <w:rsid w:val="17EB3ED5"/>
    <w:rsid w:val="18297D61"/>
    <w:rsid w:val="182A550A"/>
    <w:rsid w:val="183E277D"/>
    <w:rsid w:val="18C45999"/>
    <w:rsid w:val="18FF247F"/>
    <w:rsid w:val="19486E7E"/>
    <w:rsid w:val="19AB3BCE"/>
    <w:rsid w:val="19D352A9"/>
    <w:rsid w:val="19E64905"/>
    <w:rsid w:val="19E660D3"/>
    <w:rsid w:val="19EF04E5"/>
    <w:rsid w:val="1A8E0E9D"/>
    <w:rsid w:val="1B4D1ED4"/>
    <w:rsid w:val="1B864523"/>
    <w:rsid w:val="1BB10789"/>
    <w:rsid w:val="1C2F6AD4"/>
    <w:rsid w:val="1C4A54CC"/>
    <w:rsid w:val="1C4D0A32"/>
    <w:rsid w:val="1C993F32"/>
    <w:rsid w:val="1CA22EFE"/>
    <w:rsid w:val="1CC262A1"/>
    <w:rsid w:val="1CC54A50"/>
    <w:rsid w:val="1CEA6DC8"/>
    <w:rsid w:val="1CF37109"/>
    <w:rsid w:val="1D6B7F57"/>
    <w:rsid w:val="1D9B5BA0"/>
    <w:rsid w:val="1DD101B1"/>
    <w:rsid w:val="1DE5752F"/>
    <w:rsid w:val="1E1D4334"/>
    <w:rsid w:val="1EBA4E91"/>
    <w:rsid w:val="1ECD1059"/>
    <w:rsid w:val="1F695542"/>
    <w:rsid w:val="1FF923AC"/>
    <w:rsid w:val="200139CA"/>
    <w:rsid w:val="2039303F"/>
    <w:rsid w:val="20BB426D"/>
    <w:rsid w:val="2107241D"/>
    <w:rsid w:val="212E1019"/>
    <w:rsid w:val="213A1EFC"/>
    <w:rsid w:val="21542F4B"/>
    <w:rsid w:val="21653CA1"/>
    <w:rsid w:val="21702FDE"/>
    <w:rsid w:val="21780ACB"/>
    <w:rsid w:val="21A47956"/>
    <w:rsid w:val="21D56148"/>
    <w:rsid w:val="21E423A9"/>
    <w:rsid w:val="22F46B0B"/>
    <w:rsid w:val="22F603BD"/>
    <w:rsid w:val="230E6397"/>
    <w:rsid w:val="230F4713"/>
    <w:rsid w:val="23190C39"/>
    <w:rsid w:val="232554CA"/>
    <w:rsid w:val="236A5B8A"/>
    <w:rsid w:val="236F658A"/>
    <w:rsid w:val="23EF036D"/>
    <w:rsid w:val="23FA53B2"/>
    <w:rsid w:val="245026FE"/>
    <w:rsid w:val="248C63EC"/>
    <w:rsid w:val="249F7E68"/>
    <w:rsid w:val="24C67642"/>
    <w:rsid w:val="24EE19DF"/>
    <w:rsid w:val="25171CF6"/>
    <w:rsid w:val="251A606C"/>
    <w:rsid w:val="252C3E51"/>
    <w:rsid w:val="253A5480"/>
    <w:rsid w:val="260575C1"/>
    <w:rsid w:val="267250DE"/>
    <w:rsid w:val="26785493"/>
    <w:rsid w:val="268E71AC"/>
    <w:rsid w:val="269D3F26"/>
    <w:rsid w:val="26B3338F"/>
    <w:rsid w:val="2730316E"/>
    <w:rsid w:val="273B0524"/>
    <w:rsid w:val="27774A8D"/>
    <w:rsid w:val="2785074E"/>
    <w:rsid w:val="27C472EE"/>
    <w:rsid w:val="27CC25EB"/>
    <w:rsid w:val="2848007C"/>
    <w:rsid w:val="28493797"/>
    <w:rsid w:val="287613AB"/>
    <w:rsid w:val="28A14C67"/>
    <w:rsid w:val="28BA7465"/>
    <w:rsid w:val="28C12023"/>
    <w:rsid w:val="291864CF"/>
    <w:rsid w:val="29882D9C"/>
    <w:rsid w:val="299015E5"/>
    <w:rsid w:val="299E3A68"/>
    <w:rsid w:val="29B65CC2"/>
    <w:rsid w:val="29EF5223"/>
    <w:rsid w:val="2A094A38"/>
    <w:rsid w:val="2AAF0FDE"/>
    <w:rsid w:val="2B011CA3"/>
    <w:rsid w:val="2B08167E"/>
    <w:rsid w:val="2BC0799B"/>
    <w:rsid w:val="2BCB600C"/>
    <w:rsid w:val="2BDB54C5"/>
    <w:rsid w:val="2BE6191C"/>
    <w:rsid w:val="2C2B25ED"/>
    <w:rsid w:val="2C3C440B"/>
    <w:rsid w:val="2C5603CC"/>
    <w:rsid w:val="2C727500"/>
    <w:rsid w:val="2C744123"/>
    <w:rsid w:val="2C786949"/>
    <w:rsid w:val="2C800ED7"/>
    <w:rsid w:val="2C8B18D1"/>
    <w:rsid w:val="2CA76327"/>
    <w:rsid w:val="2CBC35B9"/>
    <w:rsid w:val="2D3A42C8"/>
    <w:rsid w:val="2DA059F0"/>
    <w:rsid w:val="2DB27003"/>
    <w:rsid w:val="2E2507CE"/>
    <w:rsid w:val="2E371A7E"/>
    <w:rsid w:val="2E5C28EA"/>
    <w:rsid w:val="2EB553E3"/>
    <w:rsid w:val="2ECE6E05"/>
    <w:rsid w:val="2ED7702C"/>
    <w:rsid w:val="2F2B07A4"/>
    <w:rsid w:val="2F33619D"/>
    <w:rsid w:val="2F5B6C2A"/>
    <w:rsid w:val="2F6050C4"/>
    <w:rsid w:val="3010473A"/>
    <w:rsid w:val="302911D9"/>
    <w:rsid w:val="30977550"/>
    <w:rsid w:val="30C00BD9"/>
    <w:rsid w:val="315F48CD"/>
    <w:rsid w:val="31605132"/>
    <w:rsid w:val="31896051"/>
    <w:rsid w:val="3204469A"/>
    <w:rsid w:val="324D14AE"/>
    <w:rsid w:val="324F0834"/>
    <w:rsid w:val="32934826"/>
    <w:rsid w:val="32AB4277"/>
    <w:rsid w:val="32AD77DF"/>
    <w:rsid w:val="32BD644B"/>
    <w:rsid w:val="33255D05"/>
    <w:rsid w:val="3336079B"/>
    <w:rsid w:val="334419B0"/>
    <w:rsid w:val="340A0D2E"/>
    <w:rsid w:val="346F1D30"/>
    <w:rsid w:val="34A2516A"/>
    <w:rsid w:val="34D78031"/>
    <w:rsid w:val="355D2AF7"/>
    <w:rsid w:val="35A007BF"/>
    <w:rsid w:val="35A17B65"/>
    <w:rsid w:val="35A61D34"/>
    <w:rsid w:val="35BB0D66"/>
    <w:rsid w:val="35E72827"/>
    <w:rsid w:val="365A1173"/>
    <w:rsid w:val="365C4477"/>
    <w:rsid w:val="367510C5"/>
    <w:rsid w:val="36762B55"/>
    <w:rsid w:val="36A2084A"/>
    <w:rsid w:val="36C22F1A"/>
    <w:rsid w:val="37D270F0"/>
    <w:rsid w:val="383F6B62"/>
    <w:rsid w:val="385759B7"/>
    <w:rsid w:val="387C1143"/>
    <w:rsid w:val="38812EEF"/>
    <w:rsid w:val="38A8733E"/>
    <w:rsid w:val="38AF676D"/>
    <w:rsid w:val="38C67E09"/>
    <w:rsid w:val="3920173B"/>
    <w:rsid w:val="39355ED9"/>
    <w:rsid w:val="39A1165D"/>
    <w:rsid w:val="39D14A67"/>
    <w:rsid w:val="3A1B348F"/>
    <w:rsid w:val="3A380211"/>
    <w:rsid w:val="3A4C7246"/>
    <w:rsid w:val="3A660F7D"/>
    <w:rsid w:val="3A73BF5F"/>
    <w:rsid w:val="3B296A5F"/>
    <w:rsid w:val="3B3C69D1"/>
    <w:rsid w:val="3B5F1F25"/>
    <w:rsid w:val="3B5F2C51"/>
    <w:rsid w:val="3BA51644"/>
    <w:rsid w:val="3C205C26"/>
    <w:rsid w:val="3CCA495E"/>
    <w:rsid w:val="3CE22C6D"/>
    <w:rsid w:val="3CEE188B"/>
    <w:rsid w:val="3D3C1056"/>
    <w:rsid w:val="3D4B1050"/>
    <w:rsid w:val="3D7A4246"/>
    <w:rsid w:val="3D8016FF"/>
    <w:rsid w:val="3DA73970"/>
    <w:rsid w:val="3DB941F3"/>
    <w:rsid w:val="3DCA5CEC"/>
    <w:rsid w:val="3DD7713C"/>
    <w:rsid w:val="3DE32300"/>
    <w:rsid w:val="3E22381C"/>
    <w:rsid w:val="3E5C09B2"/>
    <w:rsid w:val="3E7F6702"/>
    <w:rsid w:val="3E8F3273"/>
    <w:rsid w:val="3EAC774E"/>
    <w:rsid w:val="3ECC00E7"/>
    <w:rsid w:val="3F294A5C"/>
    <w:rsid w:val="3F44033D"/>
    <w:rsid w:val="3FD30D37"/>
    <w:rsid w:val="40140E85"/>
    <w:rsid w:val="402D7F25"/>
    <w:rsid w:val="40914588"/>
    <w:rsid w:val="40C62EF2"/>
    <w:rsid w:val="40CD7B9E"/>
    <w:rsid w:val="40DA0ED1"/>
    <w:rsid w:val="41393CEC"/>
    <w:rsid w:val="416E7DE9"/>
    <w:rsid w:val="4190718B"/>
    <w:rsid w:val="419B21F1"/>
    <w:rsid w:val="41FC6BBC"/>
    <w:rsid w:val="428C20E7"/>
    <w:rsid w:val="43973101"/>
    <w:rsid w:val="43E03D82"/>
    <w:rsid w:val="44002B06"/>
    <w:rsid w:val="445A012A"/>
    <w:rsid w:val="44790BCC"/>
    <w:rsid w:val="448C4BF0"/>
    <w:rsid w:val="44BD6E6B"/>
    <w:rsid w:val="44C34283"/>
    <w:rsid w:val="44DF2B9B"/>
    <w:rsid w:val="4529140D"/>
    <w:rsid w:val="45350A7A"/>
    <w:rsid w:val="454F5B15"/>
    <w:rsid w:val="456A3093"/>
    <w:rsid w:val="45A649E3"/>
    <w:rsid w:val="45B603FC"/>
    <w:rsid w:val="462876A3"/>
    <w:rsid w:val="463669C0"/>
    <w:rsid w:val="46380BC4"/>
    <w:rsid w:val="466121A9"/>
    <w:rsid w:val="469A01E1"/>
    <w:rsid w:val="46B41424"/>
    <w:rsid w:val="47102C58"/>
    <w:rsid w:val="4733556A"/>
    <w:rsid w:val="47647ED7"/>
    <w:rsid w:val="47B450E7"/>
    <w:rsid w:val="47DF3DCD"/>
    <w:rsid w:val="47EE303F"/>
    <w:rsid w:val="48EB6B58"/>
    <w:rsid w:val="49030F61"/>
    <w:rsid w:val="491C62A2"/>
    <w:rsid w:val="49A31040"/>
    <w:rsid w:val="49BE1FCC"/>
    <w:rsid w:val="49C60C12"/>
    <w:rsid w:val="49CF1630"/>
    <w:rsid w:val="4A1A02DB"/>
    <w:rsid w:val="4A8A3F41"/>
    <w:rsid w:val="4AB83D59"/>
    <w:rsid w:val="4AE4271A"/>
    <w:rsid w:val="4B085EC8"/>
    <w:rsid w:val="4B535164"/>
    <w:rsid w:val="4BB054C4"/>
    <w:rsid w:val="4BD5516C"/>
    <w:rsid w:val="4BF55CD0"/>
    <w:rsid w:val="4C1B4F0A"/>
    <w:rsid w:val="4C21063C"/>
    <w:rsid w:val="4C6A4CFD"/>
    <w:rsid w:val="4C6A73F9"/>
    <w:rsid w:val="4C707ADC"/>
    <w:rsid w:val="4D5647D4"/>
    <w:rsid w:val="4D682AFD"/>
    <w:rsid w:val="4D7C149C"/>
    <w:rsid w:val="4DD27319"/>
    <w:rsid w:val="4EE25158"/>
    <w:rsid w:val="4EE353EE"/>
    <w:rsid w:val="4EED4BBF"/>
    <w:rsid w:val="4FC26CCB"/>
    <w:rsid w:val="50042D09"/>
    <w:rsid w:val="50321BC3"/>
    <w:rsid w:val="507E2F0B"/>
    <w:rsid w:val="510F4FB7"/>
    <w:rsid w:val="51465794"/>
    <w:rsid w:val="51465A9A"/>
    <w:rsid w:val="51744870"/>
    <w:rsid w:val="517A3AAD"/>
    <w:rsid w:val="517E07DB"/>
    <w:rsid w:val="51883574"/>
    <w:rsid w:val="51CB50FA"/>
    <w:rsid w:val="51EC4E94"/>
    <w:rsid w:val="51EF243F"/>
    <w:rsid w:val="51F72C82"/>
    <w:rsid w:val="5256659F"/>
    <w:rsid w:val="526F6716"/>
    <w:rsid w:val="52713325"/>
    <w:rsid w:val="52A456FD"/>
    <w:rsid w:val="52DA373A"/>
    <w:rsid w:val="52E317D5"/>
    <w:rsid w:val="52FC0D7E"/>
    <w:rsid w:val="53090BE0"/>
    <w:rsid w:val="53521F99"/>
    <w:rsid w:val="53535136"/>
    <w:rsid w:val="537450EF"/>
    <w:rsid w:val="53DB0D02"/>
    <w:rsid w:val="53FC1897"/>
    <w:rsid w:val="54110DC4"/>
    <w:rsid w:val="54811176"/>
    <w:rsid w:val="556E6F82"/>
    <w:rsid w:val="55B3654F"/>
    <w:rsid w:val="55B72A4B"/>
    <w:rsid w:val="55C8296B"/>
    <w:rsid w:val="55D64DE8"/>
    <w:rsid w:val="565548E9"/>
    <w:rsid w:val="56736900"/>
    <w:rsid w:val="56826A3D"/>
    <w:rsid w:val="56B73976"/>
    <w:rsid w:val="56F60627"/>
    <w:rsid w:val="56FE013D"/>
    <w:rsid w:val="572B1310"/>
    <w:rsid w:val="5731202E"/>
    <w:rsid w:val="57516D55"/>
    <w:rsid w:val="57543A22"/>
    <w:rsid w:val="57943E56"/>
    <w:rsid w:val="57B02864"/>
    <w:rsid w:val="57FDFCA8"/>
    <w:rsid w:val="58077637"/>
    <w:rsid w:val="581F2FEF"/>
    <w:rsid w:val="58614F62"/>
    <w:rsid w:val="58E4470B"/>
    <w:rsid w:val="59310C87"/>
    <w:rsid w:val="595C47DE"/>
    <w:rsid w:val="5962300B"/>
    <w:rsid w:val="598505D0"/>
    <w:rsid w:val="59943ECE"/>
    <w:rsid w:val="59F13012"/>
    <w:rsid w:val="5A3346B4"/>
    <w:rsid w:val="5A5D5CA7"/>
    <w:rsid w:val="5A626535"/>
    <w:rsid w:val="5A6741D1"/>
    <w:rsid w:val="5AA07685"/>
    <w:rsid w:val="5AAE54AC"/>
    <w:rsid w:val="5AD66482"/>
    <w:rsid w:val="5ADF0A56"/>
    <w:rsid w:val="5B2C1C89"/>
    <w:rsid w:val="5B4664AC"/>
    <w:rsid w:val="5B4C38F5"/>
    <w:rsid w:val="5BCC0C7F"/>
    <w:rsid w:val="5BE61C73"/>
    <w:rsid w:val="5C013FF6"/>
    <w:rsid w:val="5C811871"/>
    <w:rsid w:val="5C831903"/>
    <w:rsid w:val="5C8B718F"/>
    <w:rsid w:val="5CC8722E"/>
    <w:rsid w:val="5CD106D1"/>
    <w:rsid w:val="5D742BD3"/>
    <w:rsid w:val="5EA76834"/>
    <w:rsid w:val="5EB33341"/>
    <w:rsid w:val="5EC449F7"/>
    <w:rsid w:val="5EE03B5A"/>
    <w:rsid w:val="5EEC003A"/>
    <w:rsid w:val="5F2555EE"/>
    <w:rsid w:val="5F367F84"/>
    <w:rsid w:val="5F4C3C5D"/>
    <w:rsid w:val="5F73337A"/>
    <w:rsid w:val="5F7D8428"/>
    <w:rsid w:val="5FB66A55"/>
    <w:rsid w:val="5FFF7587"/>
    <w:rsid w:val="601C6A51"/>
    <w:rsid w:val="603F1CF4"/>
    <w:rsid w:val="60430C40"/>
    <w:rsid w:val="60987717"/>
    <w:rsid w:val="60CB2D4E"/>
    <w:rsid w:val="60D4573D"/>
    <w:rsid w:val="616511E5"/>
    <w:rsid w:val="61D00DF9"/>
    <w:rsid w:val="62762226"/>
    <w:rsid w:val="628B597B"/>
    <w:rsid w:val="62CE1373"/>
    <w:rsid w:val="62F10F75"/>
    <w:rsid w:val="62F74DDA"/>
    <w:rsid w:val="6385562E"/>
    <w:rsid w:val="63C03EDF"/>
    <w:rsid w:val="63CD6498"/>
    <w:rsid w:val="63D62DDC"/>
    <w:rsid w:val="64123AB3"/>
    <w:rsid w:val="64740F2F"/>
    <w:rsid w:val="6494556B"/>
    <w:rsid w:val="64D07265"/>
    <w:rsid w:val="64E57293"/>
    <w:rsid w:val="65AF360C"/>
    <w:rsid w:val="65DD65F1"/>
    <w:rsid w:val="6601726F"/>
    <w:rsid w:val="664C2DF0"/>
    <w:rsid w:val="66545FD7"/>
    <w:rsid w:val="666D0B58"/>
    <w:rsid w:val="66787BC6"/>
    <w:rsid w:val="667E49CC"/>
    <w:rsid w:val="66A373DF"/>
    <w:rsid w:val="67BA881D"/>
    <w:rsid w:val="67C74A78"/>
    <w:rsid w:val="67F67396"/>
    <w:rsid w:val="6804185D"/>
    <w:rsid w:val="68445BA7"/>
    <w:rsid w:val="684F66F5"/>
    <w:rsid w:val="687964B4"/>
    <w:rsid w:val="68B631BE"/>
    <w:rsid w:val="68C25680"/>
    <w:rsid w:val="691F2063"/>
    <w:rsid w:val="696926D9"/>
    <w:rsid w:val="69AA6ED1"/>
    <w:rsid w:val="6A2E248F"/>
    <w:rsid w:val="6A860C93"/>
    <w:rsid w:val="6B081239"/>
    <w:rsid w:val="6B58221F"/>
    <w:rsid w:val="6B9B5CD9"/>
    <w:rsid w:val="6BB47D06"/>
    <w:rsid w:val="6BB52107"/>
    <w:rsid w:val="6C0A5BC0"/>
    <w:rsid w:val="6C4908CF"/>
    <w:rsid w:val="6C6236E9"/>
    <w:rsid w:val="6C7B1804"/>
    <w:rsid w:val="6CCE20DC"/>
    <w:rsid w:val="6CD7252C"/>
    <w:rsid w:val="6D2133A7"/>
    <w:rsid w:val="6D3B4370"/>
    <w:rsid w:val="6DDE3606"/>
    <w:rsid w:val="6DE207C5"/>
    <w:rsid w:val="6E68467C"/>
    <w:rsid w:val="6E881707"/>
    <w:rsid w:val="6EB04494"/>
    <w:rsid w:val="6EE13569"/>
    <w:rsid w:val="6F1F5EA7"/>
    <w:rsid w:val="6F8D8B27"/>
    <w:rsid w:val="6FB876E5"/>
    <w:rsid w:val="6FBA2266"/>
    <w:rsid w:val="6FD93DEA"/>
    <w:rsid w:val="70405F3D"/>
    <w:rsid w:val="705610BB"/>
    <w:rsid w:val="70A57B12"/>
    <w:rsid w:val="71200629"/>
    <w:rsid w:val="712512C9"/>
    <w:rsid w:val="719A0F52"/>
    <w:rsid w:val="720816C1"/>
    <w:rsid w:val="721A5E4B"/>
    <w:rsid w:val="7245740A"/>
    <w:rsid w:val="728075BE"/>
    <w:rsid w:val="7283527B"/>
    <w:rsid w:val="72A75FC2"/>
    <w:rsid w:val="731E267B"/>
    <w:rsid w:val="73BA47C6"/>
    <w:rsid w:val="73D9594F"/>
    <w:rsid w:val="73DA5990"/>
    <w:rsid w:val="73E67998"/>
    <w:rsid w:val="73F1177D"/>
    <w:rsid w:val="74101F49"/>
    <w:rsid w:val="74316B6D"/>
    <w:rsid w:val="74504414"/>
    <w:rsid w:val="747407F3"/>
    <w:rsid w:val="74A6451C"/>
    <w:rsid w:val="74C57B85"/>
    <w:rsid w:val="74D7376A"/>
    <w:rsid w:val="759D0BED"/>
    <w:rsid w:val="75B76328"/>
    <w:rsid w:val="75ED04AC"/>
    <w:rsid w:val="75F153D6"/>
    <w:rsid w:val="76322FC3"/>
    <w:rsid w:val="76896B3D"/>
    <w:rsid w:val="769269A0"/>
    <w:rsid w:val="76F17BC9"/>
    <w:rsid w:val="77060BD4"/>
    <w:rsid w:val="773B3AD1"/>
    <w:rsid w:val="77507707"/>
    <w:rsid w:val="778A50A7"/>
    <w:rsid w:val="77AF6D00"/>
    <w:rsid w:val="77CC7C1A"/>
    <w:rsid w:val="77DC5F34"/>
    <w:rsid w:val="785F4805"/>
    <w:rsid w:val="79BD295A"/>
    <w:rsid w:val="79C75987"/>
    <w:rsid w:val="79CE1736"/>
    <w:rsid w:val="7A011CEE"/>
    <w:rsid w:val="7A147D08"/>
    <w:rsid w:val="7A3A2465"/>
    <w:rsid w:val="7A402ECF"/>
    <w:rsid w:val="7A8C578D"/>
    <w:rsid w:val="7A9FB9A0"/>
    <w:rsid w:val="7B4A448C"/>
    <w:rsid w:val="7B5376C6"/>
    <w:rsid w:val="7B656050"/>
    <w:rsid w:val="7B6A2B6F"/>
    <w:rsid w:val="7BD040D4"/>
    <w:rsid w:val="7C0539AA"/>
    <w:rsid w:val="7C085A32"/>
    <w:rsid w:val="7C605436"/>
    <w:rsid w:val="7CBE3646"/>
    <w:rsid w:val="7CF8555B"/>
    <w:rsid w:val="7D9E05CB"/>
    <w:rsid w:val="7DD04EFF"/>
    <w:rsid w:val="7E0C79C2"/>
    <w:rsid w:val="7E187EB5"/>
    <w:rsid w:val="7E466E03"/>
    <w:rsid w:val="7E8031DA"/>
    <w:rsid w:val="7E844482"/>
    <w:rsid w:val="7E89320E"/>
    <w:rsid w:val="7EE169A2"/>
    <w:rsid w:val="7F3C235C"/>
    <w:rsid w:val="7F7457A1"/>
    <w:rsid w:val="7FD570CC"/>
    <w:rsid w:val="7FF67CB8"/>
    <w:rsid w:val="7FFBF4BD"/>
    <w:rsid w:val="7FFD69F7"/>
    <w:rsid w:val="AFCBE97E"/>
    <w:rsid w:val="B29B1B1F"/>
    <w:rsid w:val="BFFB3379"/>
    <w:rsid w:val="C58FBBCC"/>
    <w:rsid w:val="C6D1B9E2"/>
    <w:rsid w:val="D7AB6ED0"/>
    <w:rsid w:val="DD1F1AD6"/>
    <w:rsid w:val="E78636FA"/>
    <w:rsid w:val="E7FD0292"/>
    <w:rsid w:val="F36F14E3"/>
    <w:rsid w:val="F41F3095"/>
    <w:rsid w:val="FFEF95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13">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before="100" w:beforeAutospacing="1" w:after="0"/>
      <w:ind w:firstLine="420" w:firstLineChars="100"/>
    </w:pPr>
    <w:rPr>
      <w:rFonts w:ascii="Calibri" w:hAnsi="Calibri" w:cs="Calibri"/>
      <w:szCs w:val="21"/>
    </w:rPr>
  </w:style>
  <w:style w:type="paragraph" w:styleId="3">
    <w:name w:val="Body Text"/>
    <w:basedOn w:val="1"/>
    <w:next w:val="4"/>
    <w:unhideWhenUsed/>
    <w:qFormat/>
    <w:uiPriority w:val="99"/>
    <w:pPr>
      <w:spacing w:after="120"/>
    </w:pPr>
    <w:rPr>
      <w:rFonts w:ascii="Times New Roman" w:hAnsi="Times New Roman"/>
      <w:szCs w:val="20"/>
    </w:rPr>
  </w:style>
  <w:style w:type="paragraph" w:styleId="4">
    <w:name w:val="toc 5"/>
    <w:basedOn w:val="1"/>
    <w:next w:val="1"/>
    <w:unhideWhenUsed/>
    <w:qFormat/>
    <w:uiPriority w:val="39"/>
    <w:pPr>
      <w:ind w:left="1680"/>
    </w:p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Body Text First Indent 2"/>
    <w:basedOn w:val="6"/>
    <w:next w:val="10"/>
    <w:unhideWhenUsed/>
    <w:qFormat/>
    <w:uiPriority w:val="99"/>
    <w:pPr>
      <w:spacing w:after="0" w:line="560" w:lineRule="exact"/>
      <w:ind w:left="0" w:leftChars="0" w:firstLine="420" w:firstLineChars="200"/>
    </w:pPr>
    <w:rPr>
      <w:rFonts w:ascii="Times New Roman" w:hAnsi="Times New Roman" w:eastAsia="Times New Roman" w:cs="Times New Roman"/>
      <w:kern w:val="0"/>
      <w:sz w:val="20"/>
      <w:szCs w:val="20"/>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jc w:val="left"/>
    </w:pPr>
    <w:rPr>
      <w:rFonts w:cs="Times New Roman"/>
      <w:color w:val="666666"/>
      <w:kern w:val="0"/>
      <w:sz w:val="18"/>
      <w:szCs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13"/>
    <w:link w:val="11"/>
    <w:qFormat/>
    <w:uiPriority w:val="99"/>
    <w:rPr>
      <w:sz w:val="18"/>
      <w:szCs w:val="18"/>
    </w:rPr>
  </w:style>
  <w:style w:type="character" w:customStyle="1" w:styleId="17">
    <w:name w:val="页脚 Char"/>
    <w:basedOn w:val="13"/>
    <w:link w:val="8"/>
    <w:qFormat/>
    <w:uiPriority w:val="99"/>
    <w:rPr>
      <w:sz w:val="18"/>
      <w:szCs w:val="18"/>
    </w:rPr>
  </w:style>
  <w:style w:type="paragraph" w:customStyle="1" w:styleId="1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7</Pages>
  <Words>487</Words>
  <Characters>2777</Characters>
  <Lines>23</Lines>
  <Paragraphs>6</Paragraphs>
  <TotalTime>0</TotalTime>
  <ScaleCrop>false</ScaleCrop>
  <LinksUpToDate>false</LinksUpToDate>
  <CharactersWithSpaces>3258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2022-03-30T09:39:00Z</dcterms:created>
  <dc:creator>微软用户</dc:creator>
  <cp:lastModifiedBy>LTGX04</cp:lastModifiedBy>
  <cp:lastPrinted>2023-06-14T00:48:00Z</cp:lastPrinted>
  <dcterms:modified xsi:type="dcterms:W3CDTF">2023-07-26T02:11:58Z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D20986693E434AC18C436BBCF3788120</vt:lpwstr>
  </property>
</Properties>
</file>