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auto"/>
          <w:spacing w:val="0"/>
          <w:sz w:val="32"/>
          <w:szCs w:val="32"/>
          <w:shd w:val="clear" w:fill="FFFFFF"/>
        </w:rPr>
      </w:pPr>
    </w:p>
    <w:p>
      <w:pPr>
        <w:pStyle w:val="2"/>
        <w:keepNext w:val="0"/>
        <w:keepLines w:val="0"/>
        <w:pageBreakBefore w:val="0"/>
        <w:kinsoku/>
        <w:wordWrap/>
        <w:overflowPunct/>
        <w:topLinePunct w:val="0"/>
        <w:autoSpaceDE/>
        <w:autoSpaceDN/>
        <w:bidi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auto"/>
          <w:spacing w:val="0"/>
          <w:sz w:val="32"/>
          <w:szCs w:val="32"/>
          <w:shd w:val="clear" w:fill="FFFFFF"/>
        </w:rPr>
      </w:pPr>
    </w:p>
    <w:p>
      <w:pPr>
        <w:pStyle w:val="2"/>
        <w:keepNext w:val="0"/>
        <w:keepLines w:val="0"/>
        <w:pageBreakBefore w:val="0"/>
        <w:kinsoku/>
        <w:wordWrap/>
        <w:overflowPunct/>
        <w:topLinePunct w:val="0"/>
        <w:autoSpaceDE/>
        <w:autoSpaceDN/>
        <w:bidi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auto"/>
          <w:spacing w:val="0"/>
          <w:sz w:val="32"/>
          <w:szCs w:val="32"/>
          <w:shd w:val="clear" w:fill="FFFFFF"/>
        </w:rPr>
      </w:pPr>
    </w:p>
    <w:p>
      <w:pPr>
        <w:pStyle w:val="2"/>
        <w:keepNext w:val="0"/>
        <w:keepLines w:val="0"/>
        <w:pageBreakBefore w:val="0"/>
        <w:kinsoku/>
        <w:wordWrap/>
        <w:overflowPunct/>
        <w:topLinePunct w:val="0"/>
        <w:autoSpaceDE/>
        <w:autoSpaceDN/>
        <w:bidi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auto"/>
          <w:spacing w:val="0"/>
          <w:sz w:val="32"/>
          <w:szCs w:val="32"/>
          <w:shd w:val="clear" w:fill="FFFFFF"/>
        </w:rPr>
      </w:pPr>
    </w:p>
    <w:p>
      <w:pPr>
        <w:pStyle w:val="2"/>
        <w:keepNext w:val="0"/>
        <w:keepLines w:val="0"/>
        <w:pageBreakBefore w:val="0"/>
        <w:kinsoku/>
        <w:wordWrap/>
        <w:overflowPunct/>
        <w:topLinePunct w:val="0"/>
        <w:autoSpaceDE/>
        <w:autoSpaceDN/>
        <w:bidi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auto"/>
          <w:spacing w:val="0"/>
          <w:sz w:val="32"/>
          <w:szCs w:val="32"/>
          <w:shd w:val="clear" w:fill="FFFFFF"/>
        </w:rPr>
      </w:pPr>
    </w:p>
    <w:p>
      <w:pPr>
        <w:pStyle w:val="2"/>
        <w:keepNext w:val="0"/>
        <w:keepLines w:val="0"/>
        <w:pageBreakBefore w:val="0"/>
        <w:kinsoku/>
        <w:wordWrap/>
        <w:overflowPunct/>
        <w:topLinePunct w:val="0"/>
        <w:autoSpaceDE/>
        <w:autoSpaceDN/>
        <w:bidi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auto"/>
          <w:spacing w:val="0"/>
          <w:sz w:val="32"/>
          <w:szCs w:val="32"/>
          <w:shd w:val="clear" w:fill="FFFFFF"/>
        </w:rPr>
      </w:pPr>
    </w:p>
    <w:p>
      <w:pPr>
        <w:pStyle w:val="2"/>
        <w:keepNext w:val="0"/>
        <w:keepLines w:val="0"/>
        <w:pageBreakBefore w:val="0"/>
        <w:kinsoku/>
        <w:wordWrap/>
        <w:overflowPunct/>
        <w:topLinePunct w:val="0"/>
        <w:autoSpaceDE/>
        <w:autoSpaceDN/>
        <w:bidi w:val="0"/>
        <w:spacing w:after="0" w:line="560" w:lineRule="exact"/>
        <w:ind w:left="0" w:leftChars="0" w:right="0" w:rightChars="0" w:firstLine="0" w:firstLineChars="0"/>
        <w:jc w:val="center"/>
        <w:textAlignment w:val="auto"/>
        <w:outlineLvl w:val="9"/>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i w:val="0"/>
          <w:caps w:val="0"/>
          <w:color w:val="auto"/>
          <w:spacing w:val="0"/>
          <w:sz w:val="32"/>
          <w:szCs w:val="32"/>
          <w:shd w:val="clear" w:fill="FFFFFF"/>
        </w:rPr>
        <w:t>鲁人社字〔2023〕32号</w:t>
      </w: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9"/>
        <w:rPr>
          <w:rFonts w:hint="eastAsia" w:ascii="方正小标宋简体" w:hAnsi="黑体" w:eastAsia="方正小标宋简体" w:cs="黑体"/>
          <w:bCs/>
          <w:color w:val="auto"/>
          <w:sz w:val="44"/>
          <w:szCs w:val="44"/>
          <w:highlight w:val="none"/>
          <w:lang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9"/>
        <w:rPr>
          <w:rFonts w:hint="eastAsia" w:ascii="方正小标宋简体" w:hAnsi="黑体" w:eastAsia="方正小标宋简体" w:cs="黑体"/>
          <w:bCs/>
          <w:color w:val="auto"/>
          <w:sz w:val="44"/>
          <w:szCs w:val="44"/>
          <w:highlight w:val="none"/>
          <w:lang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firstLine="0" w:firstLineChars="0"/>
        <w:jc w:val="center"/>
        <w:textAlignment w:val="auto"/>
        <w:outlineLvl w:val="9"/>
        <w:rPr>
          <w:rFonts w:hint="eastAsia" w:ascii="方正小标宋简体" w:hAnsi="黑体" w:eastAsia="方正小标宋简体" w:cs="黑体"/>
          <w:bCs/>
          <w:color w:val="auto"/>
          <w:sz w:val="44"/>
          <w:szCs w:val="44"/>
          <w:highlight w:val="none"/>
          <w:lang w:val="en-US" w:eastAsia="zh-CN"/>
        </w:rPr>
      </w:pPr>
      <w:r>
        <w:rPr>
          <w:rFonts w:hint="eastAsia" w:ascii="方正小标宋简体" w:hAnsi="黑体" w:eastAsia="方正小标宋简体" w:cs="黑体"/>
          <w:bCs/>
          <w:color w:val="auto"/>
          <w:sz w:val="44"/>
          <w:szCs w:val="44"/>
          <w:highlight w:val="none"/>
          <w:lang w:val="en-US" w:eastAsia="zh-CN"/>
        </w:rPr>
        <w:t>山东省人力资源和社会保障厅</w:t>
      </w:r>
    </w:p>
    <w:p>
      <w:pPr>
        <w:pStyle w:val="2"/>
        <w:keepNext w:val="0"/>
        <w:keepLines w:val="0"/>
        <w:pageBreakBefore w:val="0"/>
        <w:kinsoku/>
        <w:wordWrap/>
        <w:overflowPunct/>
        <w:topLinePunct w:val="0"/>
        <w:autoSpaceDE/>
        <w:autoSpaceDN/>
        <w:bidi w:val="0"/>
        <w:spacing w:after="0" w:line="560" w:lineRule="exact"/>
        <w:ind w:left="0" w:leftChars="0" w:right="0" w:rightChars="0" w:firstLine="0" w:firstLineChars="0"/>
        <w:jc w:val="center"/>
        <w:textAlignment w:val="auto"/>
        <w:outlineLvl w:val="9"/>
        <w:rPr>
          <w:rFonts w:hint="eastAsia" w:ascii="方正小标宋简体" w:hAnsi="黑体" w:eastAsia="方正小标宋简体" w:cs="黑体"/>
          <w:bCs/>
          <w:color w:val="auto"/>
          <w:sz w:val="44"/>
          <w:szCs w:val="44"/>
          <w:highlight w:val="none"/>
          <w:lang w:val="en-US" w:eastAsia="zh-CN"/>
        </w:rPr>
      </w:pPr>
      <w:r>
        <w:rPr>
          <w:rFonts w:hint="eastAsia" w:ascii="方正小标宋简体" w:hAnsi="黑体" w:eastAsia="方正小标宋简体" w:cs="黑体"/>
          <w:bCs/>
          <w:color w:val="auto"/>
          <w:sz w:val="44"/>
          <w:szCs w:val="44"/>
          <w:highlight w:val="none"/>
          <w:lang w:val="en-US" w:eastAsia="zh-CN"/>
        </w:rPr>
        <w:t>关于印发《山东省博士后科研工作平台</w:t>
      </w:r>
    </w:p>
    <w:p>
      <w:pPr>
        <w:pStyle w:val="2"/>
        <w:keepNext w:val="0"/>
        <w:keepLines w:val="0"/>
        <w:pageBreakBefore w:val="0"/>
        <w:kinsoku/>
        <w:wordWrap/>
        <w:overflowPunct/>
        <w:topLinePunct w:val="0"/>
        <w:autoSpaceDE/>
        <w:autoSpaceDN/>
        <w:bidi w:val="0"/>
        <w:spacing w:after="0" w:line="560" w:lineRule="exact"/>
        <w:ind w:left="0" w:leftChars="0" w:right="0" w:rightChars="0" w:firstLine="0" w:firstLineChars="0"/>
        <w:jc w:val="center"/>
        <w:textAlignment w:val="auto"/>
        <w:outlineLvl w:val="9"/>
        <w:rPr>
          <w:rFonts w:hint="default" w:ascii="方正小标宋简体" w:hAnsi="黑体" w:eastAsia="方正小标宋简体" w:cs="黑体"/>
          <w:bCs/>
          <w:color w:val="auto"/>
          <w:sz w:val="44"/>
          <w:szCs w:val="44"/>
          <w:highlight w:val="none"/>
          <w:lang w:val="en-US" w:eastAsia="zh-CN"/>
        </w:rPr>
      </w:pPr>
      <w:r>
        <w:rPr>
          <w:rFonts w:hint="eastAsia" w:ascii="方正小标宋简体" w:hAnsi="黑体" w:eastAsia="方正小标宋简体" w:cs="黑体"/>
          <w:bCs/>
          <w:color w:val="auto"/>
          <w:sz w:val="44"/>
          <w:szCs w:val="44"/>
          <w:highlight w:val="none"/>
          <w:lang w:val="en-US" w:eastAsia="zh-CN"/>
        </w:rPr>
        <w:t>评估办法（试行）》的通知</w:t>
      </w:r>
    </w:p>
    <w:p>
      <w:pPr>
        <w:pStyle w:val="2"/>
        <w:keepNext w:val="0"/>
        <w:keepLines w:val="0"/>
        <w:pageBreakBefore w:val="0"/>
        <w:kinsoku/>
        <w:wordWrap/>
        <w:overflowPunct/>
        <w:topLinePunct w:val="0"/>
        <w:autoSpaceDE/>
        <w:autoSpaceDN/>
        <w:bidi w:val="0"/>
        <w:spacing w:after="0" w:line="560" w:lineRule="exact"/>
        <w:ind w:left="0" w:leftChars="0" w:right="0" w:rightChars="0"/>
        <w:textAlignment w:val="auto"/>
        <w:outlineLvl w:val="9"/>
        <w:rPr>
          <w:rFonts w:hint="eastAsia" w:ascii="方正小标宋简体" w:hAnsi="黑体" w:eastAsia="方正小标宋简体" w:cs="黑体"/>
          <w:bCs/>
          <w:color w:val="auto"/>
          <w:sz w:val="44"/>
          <w:szCs w:val="44"/>
          <w:highlight w:val="none"/>
          <w:lang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firstLine="0" w:firstLineChars="0"/>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Cs w:val="0"/>
          <w:color w:val="auto"/>
          <w:sz w:val="32"/>
          <w:szCs w:val="32"/>
          <w:highlight w:val="none"/>
          <w:lang w:val="en-US" w:eastAsia="zh-CN"/>
        </w:rPr>
        <w:t>各市人力资源社会保障局，各博士后科研流动站、工作站、博士后创新实践基地设站（基地）单位：</w:t>
      </w: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Cs w:val="0"/>
          <w:color w:val="auto"/>
          <w:sz w:val="32"/>
          <w:szCs w:val="32"/>
          <w:highlight w:val="none"/>
          <w:lang w:val="en-US" w:eastAsia="zh-CN"/>
        </w:rPr>
        <w:t>现将《</w:t>
      </w:r>
      <w:r>
        <w:rPr>
          <w:rFonts w:hint="eastAsia" w:ascii="仿宋_GB2312" w:hAnsi="仿宋_GB2312" w:eastAsia="仿宋_GB2312" w:cs="仿宋_GB2312"/>
          <w:color w:val="auto"/>
          <w:sz w:val="32"/>
          <w:szCs w:val="32"/>
          <w:highlight w:val="none"/>
        </w:rPr>
        <w:t>山东省博士后科研工作平台评估办法（试行）</w:t>
      </w:r>
      <w:r>
        <w:rPr>
          <w:rFonts w:hint="eastAsia" w:ascii="仿宋_GB2312" w:hAnsi="仿宋_GB2312" w:eastAsia="仿宋_GB2312" w:cs="仿宋_GB2312"/>
          <w:bCs w:val="0"/>
          <w:color w:val="auto"/>
          <w:sz w:val="32"/>
          <w:szCs w:val="32"/>
          <w:highlight w:val="none"/>
          <w:lang w:val="en-US" w:eastAsia="zh-CN"/>
        </w:rPr>
        <w:t>》印发给你们，请认真遵照执行。</w:t>
      </w: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outlineLvl w:val="9"/>
        <w:rPr>
          <w:rFonts w:hint="default" w:ascii="仿宋_GB2312" w:hAnsi="仿宋_GB2312" w:eastAsia="仿宋_GB2312" w:cs="仿宋_GB2312"/>
          <w:bCs w:val="0"/>
          <w:color w:val="auto"/>
          <w:sz w:val="32"/>
          <w:szCs w:val="32"/>
          <w:highlight w:val="none"/>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outlineLvl w:val="9"/>
        <w:rPr>
          <w:rFonts w:hint="default" w:ascii="仿宋_GB2312" w:hAnsi="仿宋_GB2312" w:eastAsia="仿宋_GB2312" w:cs="仿宋_GB2312"/>
          <w:bCs w:val="0"/>
          <w:color w:val="auto"/>
          <w:sz w:val="32"/>
          <w:szCs w:val="32"/>
          <w:highlight w:val="none"/>
          <w:lang w:val="en-US" w:eastAsia="zh-CN"/>
        </w:rPr>
      </w:pPr>
    </w:p>
    <w:p>
      <w:pPr>
        <w:pStyle w:val="2"/>
        <w:keepNext w:val="0"/>
        <w:keepLines w:val="0"/>
        <w:pageBreakBefore w:val="0"/>
        <w:kinsoku/>
        <w:wordWrap/>
        <w:overflowPunct/>
        <w:topLinePunct w:val="0"/>
        <w:autoSpaceDE/>
        <w:autoSpaceDN/>
        <w:bidi w:val="0"/>
        <w:spacing w:after="0" w:line="560" w:lineRule="exact"/>
        <w:ind w:left="0" w:leftChars="0" w:right="0" w:rightChars="0" w:firstLine="2841" w:firstLineChars="899"/>
        <w:jc w:val="center"/>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Cs w:val="0"/>
          <w:color w:val="auto"/>
          <w:sz w:val="32"/>
          <w:szCs w:val="32"/>
          <w:highlight w:val="none"/>
          <w:lang w:val="en-US" w:eastAsia="zh-CN"/>
        </w:rPr>
        <w:t>山东省人力资源和社会保障厅</w:t>
      </w:r>
    </w:p>
    <w:p>
      <w:pPr>
        <w:pStyle w:val="2"/>
        <w:keepNext w:val="0"/>
        <w:keepLines w:val="0"/>
        <w:pageBreakBefore w:val="0"/>
        <w:kinsoku/>
        <w:wordWrap/>
        <w:overflowPunct/>
        <w:topLinePunct w:val="0"/>
        <w:autoSpaceDE/>
        <w:autoSpaceDN/>
        <w:bidi w:val="0"/>
        <w:spacing w:after="0" w:line="560" w:lineRule="exact"/>
        <w:ind w:left="0" w:leftChars="0" w:right="0" w:rightChars="0" w:firstLine="2841" w:firstLineChars="899"/>
        <w:jc w:val="center"/>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Cs w:val="0"/>
          <w:color w:val="auto"/>
          <w:sz w:val="32"/>
          <w:szCs w:val="32"/>
          <w:highlight w:val="none"/>
          <w:lang w:val="en-US" w:eastAsia="zh-CN"/>
        </w:rPr>
        <w:t>2023年5月4日</w:t>
      </w: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Cs w:val="0"/>
          <w:color w:val="auto"/>
          <w:sz w:val="32"/>
          <w:szCs w:val="32"/>
          <w:highlight w:val="none"/>
          <w:lang w:val="en-US" w:eastAsia="zh-CN"/>
        </w:rPr>
        <w:t>（此件主动公开）</w:t>
      </w: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outlineLvl w:val="9"/>
        <w:rPr>
          <w:rFonts w:hint="eastAsia" w:ascii="仿宋_GB2312" w:hAnsi="仿宋_GB2312" w:eastAsia="仿宋_GB2312" w:cs="仿宋_GB2312"/>
          <w:bCs w:val="0"/>
          <w:color w:val="auto"/>
          <w:sz w:val="32"/>
          <w:szCs w:val="32"/>
          <w:highlight w:val="none"/>
          <w:lang w:val="en-US" w:eastAsia="zh-CN"/>
        </w:rPr>
      </w:pPr>
      <w:r>
        <w:rPr>
          <w:rFonts w:hint="eastAsia" w:ascii="仿宋_GB2312" w:hAnsi="仿宋_GB2312" w:eastAsia="仿宋_GB2312" w:cs="仿宋_GB2312"/>
          <w:bCs w:val="0"/>
          <w:color w:val="auto"/>
          <w:sz w:val="32"/>
          <w:szCs w:val="32"/>
          <w:highlight w:val="none"/>
          <w:lang w:val="en-US" w:eastAsia="zh-CN"/>
        </w:rPr>
        <w:t>（联系单位：人才开发处）</w:t>
      </w:r>
    </w:p>
    <w:p>
      <w:pPr>
        <w:keepNext w:val="0"/>
        <w:keepLines w:val="0"/>
        <w:pageBreakBefore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方正小标宋简体" w:hAnsi="黑体" w:eastAsia="方正小标宋简体" w:cs="黑体"/>
          <w:bCs/>
          <w:color w:val="auto"/>
          <w:sz w:val="44"/>
          <w:szCs w:val="44"/>
          <w:highlight w:val="none"/>
          <w:lang w:eastAsia="zh-CN"/>
        </w:rPr>
      </w:pPr>
    </w:p>
    <w:p>
      <w:pPr>
        <w:keepNext w:val="0"/>
        <w:keepLines w:val="0"/>
        <w:pageBreakBefore w:val="0"/>
        <w:kinsoku/>
        <w:wordWrap/>
        <w:overflowPunct/>
        <w:topLinePunct w:val="0"/>
        <w:autoSpaceDE/>
        <w:autoSpaceDN/>
        <w:bidi w:val="0"/>
        <w:spacing w:line="560" w:lineRule="exact"/>
        <w:ind w:left="0" w:leftChars="0" w:right="0" w:rightChars="0" w:firstLine="0" w:firstLineChars="0"/>
        <w:jc w:val="center"/>
        <w:textAlignment w:val="auto"/>
        <w:outlineLvl w:val="9"/>
        <w:rPr>
          <w:rFonts w:hint="eastAsia" w:ascii="方正小标宋简体" w:hAnsi="黑体" w:eastAsia="方正小标宋简体" w:cs="黑体"/>
          <w:bCs/>
          <w:color w:val="auto"/>
          <w:sz w:val="44"/>
          <w:szCs w:val="44"/>
          <w:highlight w:val="none"/>
          <w:lang w:val="en-US" w:eastAsia="zh-CN"/>
        </w:rPr>
      </w:pPr>
      <w:r>
        <w:rPr>
          <w:rFonts w:hint="eastAsia" w:ascii="方正小标宋简体" w:hAnsi="黑体" w:eastAsia="方正小标宋简体" w:cs="黑体"/>
          <w:bCs/>
          <w:color w:val="auto"/>
          <w:sz w:val="44"/>
          <w:szCs w:val="44"/>
          <w:highlight w:val="none"/>
          <w:lang w:eastAsia="zh-CN"/>
        </w:rPr>
        <w:t>山东省</w:t>
      </w:r>
      <w:r>
        <w:rPr>
          <w:rFonts w:hint="eastAsia" w:ascii="方正小标宋简体" w:hAnsi="黑体" w:eastAsia="方正小标宋简体" w:cs="黑体"/>
          <w:bCs/>
          <w:color w:val="auto"/>
          <w:sz w:val="44"/>
          <w:szCs w:val="44"/>
          <w:highlight w:val="none"/>
        </w:rPr>
        <w:t>博士后</w:t>
      </w:r>
      <w:r>
        <w:rPr>
          <w:rFonts w:hint="eastAsia" w:ascii="方正小标宋简体" w:hAnsi="黑体" w:eastAsia="方正小标宋简体" w:cs="黑体"/>
          <w:bCs/>
          <w:color w:val="auto"/>
          <w:sz w:val="44"/>
          <w:szCs w:val="44"/>
          <w:highlight w:val="none"/>
          <w:lang w:val="en-US" w:eastAsia="zh-CN"/>
        </w:rPr>
        <w:t>科研工作平台评估办法（试行）</w:t>
      </w:r>
    </w:p>
    <w:p>
      <w:pPr>
        <w:pStyle w:val="2"/>
        <w:keepNext w:val="0"/>
        <w:keepLines w:val="0"/>
        <w:pageBreakBefore w:val="0"/>
        <w:kinsoku/>
        <w:wordWrap/>
        <w:overflowPunct/>
        <w:topLinePunct w:val="0"/>
        <w:autoSpaceDE/>
        <w:autoSpaceDN/>
        <w:bidi w:val="0"/>
        <w:spacing w:after="0" w:line="560" w:lineRule="exact"/>
        <w:ind w:left="0" w:leftChars="0" w:right="0" w:rightChars="0" w:firstLine="0" w:firstLineChars="0"/>
        <w:jc w:val="center"/>
        <w:textAlignment w:val="auto"/>
        <w:outlineLvl w:val="9"/>
        <w:rPr>
          <w:rFonts w:hint="eastAsia" w:ascii="楷体_GB2312" w:hAnsi="楷体_GB2312" w:eastAsia="楷体_GB2312" w:cs="楷体_GB2312"/>
          <w:bCs/>
          <w:color w:val="auto"/>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第一章 </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总则</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 xml:space="preserve">第一条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为进一步提升全省博士后科研工作平台运行质量，强化动态管理，根据《国务院办公厅关于改革完善博士后制度的意见》(国办发〔2015〕87号)、《人力资源社会保障部全国博士后管委会关于进一步加强企业博士后科研工作站建设的通知》（人社部发〔2021〕88号）</w:t>
      </w:r>
      <w:r>
        <w:rPr>
          <w:rFonts w:hint="eastAsia" w:ascii="仿宋_GB2312" w:hAnsi="宋体" w:eastAsia="仿宋_GB2312" w:cs="仿宋_GB2312"/>
          <w:i w:val="0"/>
          <w:iCs w:val="0"/>
          <w:caps w:val="0"/>
          <w:color w:val="auto"/>
          <w:spacing w:val="0"/>
          <w:sz w:val="32"/>
          <w:szCs w:val="32"/>
          <w:shd w:val="clear" w:fill="FFFFFF"/>
          <w:lang w:eastAsia="zh-CN"/>
        </w:rPr>
        <w:t>和</w:t>
      </w:r>
      <w:r>
        <w:rPr>
          <w:rFonts w:hint="eastAsia" w:ascii="仿宋_GB2312" w:hAnsi="仿宋_GB2312" w:eastAsia="仿宋_GB2312" w:cs="仿宋_GB2312"/>
          <w:color w:val="auto"/>
          <w:sz w:val="32"/>
          <w:szCs w:val="32"/>
          <w:highlight w:val="none"/>
          <w:lang w:eastAsia="zh-CN"/>
        </w:rPr>
        <w:t>《山东省人力资源和社会保障厅关于印发山东省博士后工作管理办法的通知》（鲁人社规〔2022〕1号）</w:t>
      </w:r>
      <w:r>
        <w:rPr>
          <w:rFonts w:hint="eastAsia" w:ascii="仿宋_GB2312" w:hAnsi="仿宋_GB2312" w:eastAsia="仿宋_GB2312" w:cs="仿宋_GB2312"/>
          <w:color w:val="auto"/>
          <w:sz w:val="32"/>
          <w:szCs w:val="32"/>
          <w:highlight w:val="none"/>
          <w:lang w:val="en-US" w:eastAsia="zh-CN"/>
        </w:rPr>
        <w:t>等有关政策规定，结合我省实际，</w:t>
      </w:r>
      <w:r>
        <w:rPr>
          <w:rFonts w:hint="eastAsia" w:ascii="仿宋_GB2312" w:hAnsi="仿宋_GB2312" w:eastAsia="仿宋_GB2312" w:cs="仿宋_GB2312"/>
          <w:color w:val="auto"/>
          <w:sz w:val="32"/>
          <w:szCs w:val="32"/>
          <w:highlight w:val="none"/>
        </w:rPr>
        <w:t>制定本办法。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第二条</w:t>
      </w:r>
      <w:r>
        <w:rPr>
          <w:rFonts w:hint="eastAsia" w:ascii="仿宋_GB2312" w:hAnsi="仿宋_GB2312" w:eastAsia="仿宋_GB2312" w:cs="仿宋_GB2312"/>
          <w:color w:val="auto"/>
          <w:sz w:val="32"/>
          <w:szCs w:val="32"/>
          <w:highlight w:val="none"/>
          <w:lang w:val="en-US" w:eastAsia="zh-CN"/>
        </w:rPr>
        <w:t xml:space="preserve">  本办法适用于设立在我省行政区域内的博士后科研流动站、博士后科研工作站（含分站），以及省博士后创新实践基地（含分基地）等博士后科研工作平台（以下简称“博士后平台”）。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宋体" w:eastAsia="仿宋_GB2312" w:cs="宋体"/>
          <w:bCs/>
          <w:color w:val="auto"/>
          <w:kern w:val="0"/>
          <w:sz w:val="32"/>
          <w:szCs w:val="32"/>
          <w:lang w:val="en-US" w:eastAsia="zh-CN"/>
        </w:rPr>
      </w:pPr>
      <w:r>
        <w:rPr>
          <w:rFonts w:hint="eastAsia" w:ascii="黑体" w:hAnsi="黑体" w:eastAsia="黑体" w:cs="黑体"/>
          <w:color w:val="auto"/>
          <w:sz w:val="32"/>
          <w:szCs w:val="32"/>
          <w:highlight w:val="none"/>
          <w:lang w:val="en-US" w:eastAsia="zh-CN"/>
        </w:rPr>
        <w:t>第三条</w:t>
      </w:r>
      <w:r>
        <w:rPr>
          <w:rFonts w:hint="eastAsia" w:ascii="仿宋_GB2312" w:hAnsi="仿宋_GB2312" w:eastAsia="仿宋_GB2312" w:cs="仿宋_GB2312"/>
          <w:color w:val="auto"/>
          <w:sz w:val="32"/>
          <w:szCs w:val="32"/>
          <w:highlight w:val="none"/>
          <w:lang w:val="en-US" w:eastAsia="zh-CN"/>
        </w:rPr>
        <w:t xml:space="preserve">  评估工作遵循“注重实绩、客观公正、科学简便”的原则，坚持常态化和阶段性相结合，依照规范的标准、程序、方法进行，旨在</w:t>
      </w:r>
      <w:r>
        <w:rPr>
          <w:rFonts w:hint="eastAsia" w:ascii="仿宋_GB2312" w:hAnsi="宋体" w:eastAsia="仿宋_GB2312" w:cs="宋体"/>
          <w:bCs/>
          <w:color w:val="auto"/>
          <w:kern w:val="0"/>
          <w:sz w:val="32"/>
          <w:szCs w:val="32"/>
        </w:rPr>
        <w:t>以评促建、以评促进</w:t>
      </w:r>
      <w:r>
        <w:rPr>
          <w:rFonts w:hint="eastAsia" w:ascii="仿宋_GB2312" w:hAnsi="宋体" w:eastAsia="仿宋_GB2312" w:cs="宋体"/>
          <w:bCs/>
          <w:color w:val="auto"/>
          <w:kern w:val="0"/>
          <w:sz w:val="32"/>
          <w:szCs w:val="32"/>
          <w:lang w:eastAsia="zh-CN"/>
        </w:rPr>
        <w:t>，</w:t>
      </w:r>
      <w:r>
        <w:rPr>
          <w:rFonts w:hint="eastAsia" w:ascii="仿宋_GB2312" w:hAnsi="宋体" w:eastAsia="仿宋_GB2312" w:cs="宋体"/>
          <w:bCs/>
          <w:color w:val="auto"/>
          <w:kern w:val="0"/>
          <w:sz w:val="32"/>
          <w:szCs w:val="32"/>
          <w:lang w:val="en-US" w:eastAsia="zh-CN"/>
        </w:rPr>
        <w:t>提高博士后平台整体发展质量，推动全省博士后事业实现高质量发展。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Cs/>
          <w:color w:val="auto"/>
          <w:kern w:val="0"/>
          <w:sz w:val="32"/>
          <w:szCs w:val="32"/>
          <w:lang w:val="en-US" w:eastAsia="zh-CN"/>
        </w:rPr>
        <w:t>第四条</w:t>
      </w:r>
      <w:r>
        <w:rPr>
          <w:rFonts w:hint="eastAsia" w:ascii="仿宋_GB2312" w:hAnsi="宋体" w:eastAsia="仿宋_GB2312" w:cs="宋体"/>
          <w:bCs/>
          <w:color w:val="auto"/>
          <w:kern w:val="0"/>
          <w:sz w:val="32"/>
          <w:szCs w:val="32"/>
          <w:lang w:val="en-US" w:eastAsia="zh-CN"/>
        </w:rPr>
        <w:t xml:space="preserve">  省人力资源社会保障厅负责全省博士后平台评估</w:t>
      </w:r>
      <w:r>
        <w:rPr>
          <w:rFonts w:hint="eastAsia" w:ascii="仿宋_GB2312" w:hAnsi="仿宋_GB2312" w:eastAsia="仿宋_GB2312" w:cs="仿宋_GB2312"/>
          <w:color w:val="auto"/>
          <w:sz w:val="32"/>
          <w:szCs w:val="32"/>
          <w:highlight w:val="none"/>
          <w:lang w:val="en-US" w:eastAsia="zh-CN"/>
        </w:rPr>
        <w:t>工作的</w:t>
      </w:r>
      <w:r>
        <w:rPr>
          <w:rFonts w:ascii="仿宋_GB2312" w:hAnsi="宋体" w:eastAsia="仿宋_GB2312" w:cs="仿宋_GB2312"/>
          <w:i w:val="0"/>
          <w:iCs w:val="0"/>
          <w:caps w:val="0"/>
          <w:color w:val="auto"/>
          <w:spacing w:val="0"/>
          <w:sz w:val="32"/>
          <w:szCs w:val="32"/>
          <w:shd w:val="clear" w:fill="FFFFFF"/>
        </w:rPr>
        <w:t>组织、管理、指导、协调和监督</w:t>
      </w:r>
      <w:r>
        <w:rPr>
          <w:rFonts w:hint="eastAsia" w:ascii="仿宋_GB2312" w:hAnsi="宋体" w:eastAsia="仿宋_GB2312" w:cs="仿宋_GB2312"/>
          <w:i w:val="0"/>
          <w:iCs w:val="0"/>
          <w:caps w:val="0"/>
          <w:color w:val="auto"/>
          <w:spacing w:val="0"/>
          <w:sz w:val="32"/>
          <w:szCs w:val="32"/>
          <w:shd w:val="clear" w:fill="FFFFFF"/>
          <w:lang w:eastAsia="zh-CN"/>
        </w:rPr>
        <w:t>，</w:t>
      </w:r>
      <w:r>
        <w:rPr>
          <w:rFonts w:hint="eastAsia" w:ascii="仿宋_GB2312" w:hAnsi="宋体" w:eastAsia="仿宋_GB2312" w:cs="仿宋_GB2312"/>
          <w:i w:val="0"/>
          <w:iCs w:val="0"/>
          <w:caps w:val="0"/>
          <w:color w:val="auto"/>
          <w:spacing w:val="0"/>
          <w:sz w:val="32"/>
          <w:szCs w:val="32"/>
          <w:shd w:val="clear" w:fill="FFFFFF"/>
          <w:lang w:val="en-US" w:eastAsia="zh-CN"/>
        </w:rPr>
        <w:t>以及评估等级确认、公示和结果使用等；</w:t>
      </w:r>
      <w:r>
        <w:rPr>
          <w:rFonts w:hint="eastAsia" w:ascii="仿宋_GB2312" w:hAnsi="仿宋_GB2312" w:eastAsia="仿宋_GB2312" w:cs="仿宋_GB2312"/>
          <w:color w:val="auto"/>
          <w:sz w:val="32"/>
          <w:szCs w:val="32"/>
          <w:highlight w:val="none"/>
          <w:lang w:val="en-US" w:eastAsia="zh-CN"/>
        </w:rPr>
        <w:t>各设区的市人力资源社会保障局负责组织做好本地区博士后科研工作站（含分站）、省博士后创新实践基地（含分基地）的评估工作，各博士后科研流动站设站单位负责组织做好本单位博士后科研流动站的评估工作，相应承担评估材料汇总和核查、实地检查、提出评定等级建议，以及评估结果反馈和督导整改落实等职责；各博士后平台负责根据评估工作部署及评估内容梳理总结本单位相关工作开展情况、落实评估后的整改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default" w:ascii="仿宋_GB2312" w:hAnsi="仿宋_GB2312" w:eastAsia="仿宋_GB2312" w:cs="仿宋_GB2312"/>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第二章  </w:t>
      </w:r>
      <w:r>
        <w:rPr>
          <w:rFonts w:hint="eastAsia" w:ascii="黑体" w:hAnsi="黑体" w:eastAsia="黑体" w:cs="黑体"/>
          <w:color w:val="auto"/>
          <w:sz w:val="32"/>
          <w:szCs w:val="32"/>
          <w:highlight w:val="none"/>
          <w:lang w:eastAsia="zh-CN"/>
        </w:rPr>
        <w:t>评估</w:t>
      </w:r>
      <w:r>
        <w:rPr>
          <w:rFonts w:hint="eastAsia" w:ascii="黑体" w:hAnsi="黑体" w:eastAsia="黑体" w:cs="黑体"/>
          <w:color w:val="auto"/>
          <w:sz w:val="32"/>
          <w:szCs w:val="32"/>
          <w:highlight w:val="none"/>
          <w:lang w:val="en-US" w:eastAsia="zh-CN"/>
        </w:rPr>
        <w:t>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第五条 </w:t>
      </w:r>
      <w:r>
        <w:rPr>
          <w:rFonts w:hint="eastAsia" w:ascii="仿宋_GB2312" w:hAnsi="仿宋_GB2312" w:eastAsia="仿宋_GB2312" w:cs="仿宋_GB2312"/>
          <w:color w:val="auto"/>
          <w:sz w:val="32"/>
          <w:szCs w:val="32"/>
          <w:highlight w:val="none"/>
          <w:lang w:val="en-US" w:eastAsia="zh-CN"/>
        </w:rPr>
        <w:t xml:space="preserve"> 评估工作分为建站评估和常规评估两类。建站评估主要针对新设立的博士后平台开展，于博士后平台设立的第二年组织实施；常规评估主要针对完成建站评估并取得合格等级的博士后平台开展，每两年组织一次。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第六条</w:t>
      </w:r>
      <w:r>
        <w:rPr>
          <w:rFonts w:hint="eastAsia" w:ascii="仿宋_GB2312" w:hAnsi="仿宋_GB2312" w:eastAsia="仿宋_GB2312" w:cs="仿宋_GB2312"/>
          <w:color w:val="auto"/>
          <w:sz w:val="32"/>
          <w:szCs w:val="32"/>
          <w:highlight w:val="none"/>
          <w:lang w:val="en-US" w:eastAsia="zh-CN"/>
        </w:rPr>
        <w:t xml:space="preserve">  建站评估侧重考察博士后平台的基础建设情况，以及博士后招收培养和服务保障情况，主要包括：</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1.基础建设情况。重点是博士后管理机构设置，博士后工作规划和日常管理制度建设、工作人员配备，以及博士后招引联动合作关系建立等情况。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2.招收培养情况。重点是博士后招收计划制定、博士后招收人数、博士后合作导师配备，以及建立以实施科研项目计划书为主要内容的培养制度情况。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3.服务保障情况。重点是为博士后提供必要的科研条件、工作环境和必要的生活条件，确保博士后享受设站单位职工同等待遇等服务保障情况。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第七条</w:t>
      </w:r>
      <w:r>
        <w:rPr>
          <w:rFonts w:hint="eastAsia" w:ascii="仿宋_GB2312" w:hAnsi="仿宋_GB2312" w:eastAsia="仿宋_GB2312" w:cs="仿宋_GB2312"/>
          <w:color w:val="auto"/>
          <w:sz w:val="32"/>
          <w:szCs w:val="32"/>
          <w:highlight w:val="none"/>
          <w:lang w:val="en-US" w:eastAsia="zh-CN"/>
        </w:rPr>
        <w:t xml:space="preserve">  常规评估侧重考察博士后平台日常运行情况，重点是博士后招收、培养、科研成果取得与转化和服务保障情况，主要包括：</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1.博士后招收情况。重点是招收博士后数量及结构（应届、全职、海外博士后招收比例）等情况。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leftChars="0" w:right="0" w:rightChars="0" w:firstLine="640" w:firstLineChars="200"/>
        <w:jc w:val="left"/>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博士后培养情况。重点是博士后在站期间的日常管理和服务，博士后导师作用发挥情况，博士后</w:t>
      </w:r>
      <w:r>
        <w:rPr>
          <w:rFonts w:hint="default" w:ascii="仿宋_GB2312" w:hAnsi="仿宋_GB2312" w:eastAsia="仿宋_GB2312" w:cs="仿宋_GB2312"/>
          <w:b w:val="0"/>
          <w:bCs w:val="0"/>
          <w:color w:val="auto"/>
          <w:sz w:val="32"/>
          <w:szCs w:val="32"/>
          <w:highlight w:val="none"/>
          <w:lang w:eastAsia="zh-CN"/>
        </w:rPr>
        <w:t>进站开题</w:t>
      </w:r>
      <w:r>
        <w:rPr>
          <w:rFonts w:hint="eastAsia" w:ascii="仿宋_GB2312" w:hAnsi="仿宋_GB2312" w:eastAsia="仿宋_GB2312" w:cs="仿宋_GB2312"/>
          <w:b w:val="0"/>
          <w:bCs w:val="0"/>
          <w:color w:val="auto"/>
          <w:sz w:val="32"/>
          <w:szCs w:val="32"/>
          <w:highlight w:val="none"/>
          <w:lang w:val="en-US" w:eastAsia="zh-CN"/>
        </w:rPr>
        <w:t>、中期和出站考核情况</w:t>
      </w:r>
      <w:r>
        <w:rPr>
          <w:rFonts w:hint="eastAsia" w:ascii="仿宋_GB2312" w:hAnsi="仿宋_GB2312" w:eastAsia="仿宋_GB2312" w:cs="仿宋_GB2312"/>
          <w:b w:val="0"/>
          <w:bCs w:val="0"/>
          <w:color w:val="auto"/>
          <w:kern w:val="2"/>
          <w:sz w:val="32"/>
          <w:szCs w:val="32"/>
          <w:highlight w:val="none"/>
          <w:lang w:val="en-US" w:eastAsia="zh-CN" w:bidi="ar-SA"/>
        </w:rPr>
        <w:t>以及</w:t>
      </w:r>
      <w:r>
        <w:rPr>
          <w:rFonts w:hint="eastAsia" w:ascii="仿宋_GB2312" w:hAnsi="仿宋_GB2312" w:eastAsia="仿宋_GB2312" w:cs="仿宋_GB2312"/>
          <w:b w:val="0"/>
          <w:bCs w:val="0"/>
          <w:color w:val="auto"/>
          <w:sz w:val="32"/>
          <w:szCs w:val="32"/>
          <w:highlight w:val="none"/>
          <w:lang w:val="en-US" w:eastAsia="zh-CN"/>
        </w:rPr>
        <w:t>博士后出站、出站留鲁等情况。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3.博士后科研成果取得与转化情况。重点是博士后主持或参与各类科研项目情况、发表论文著作、获得知识产权以及成果转化、创新效益等情况。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4.服务保障情况。重点是科研条件、工作环境和生活条件等配套服务情况、博士后待遇保障情况等。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第八条</w:t>
      </w:r>
      <w:r>
        <w:rPr>
          <w:rFonts w:hint="eastAsia" w:ascii="仿宋_GB2312" w:hAnsi="仿宋_GB2312" w:eastAsia="仿宋_GB2312" w:cs="仿宋_GB2312"/>
          <w:color w:val="auto"/>
          <w:sz w:val="32"/>
          <w:szCs w:val="32"/>
          <w:highlight w:val="none"/>
          <w:lang w:val="en-US" w:eastAsia="zh-CN"/>
        </w:rPr>
        <w:t xml:space="preserve">  省人力资源社会保障厅分别根据博士后科研</w:t>
      </w:r>
      <w:r>
        <w:rPr>
          <w:rFonts w:hint="eastAsia" w:ascii="仿宋_GB2312" w:hAnsi="仿宋_GB2312" w:eastAsia="仿宋_GB2312" w:cs="仿宋_GB2312"/>
          <w:color w:val="auto"/>
          <w:sz w:val="32"/>
          <w:szCs w:val="32"/>
          <w:highlight w:val="none"/>
        </w:rPr>
        <w:t>流动站、</w:t>
      </w:r>
      <w:r>
        <w:rPr>
          <w:rFonts w:hint="eastAsia" w:ascii="仿宋_GB2312" w:hAnsi="仿宋_GB2312" w:eastAsia="仿宋_GB2312" w:cs="仿宋_GB2312"/>
          <w:color w:val="auto"/>
          <w:sz w:val="32"/>
          <w:szCs w:val="32"/>
          <w:highlight w:val="none"/>
          <w:lang w:val="en-US" w:eastAsia="zh-CN"/>
        </w:rPr>
        <w:t>博士后科研</w:t>
      </w:r>
      <w:r>
        <w:rPr>
          <w:rFonts w:hint="eastAsia" w:ascii="仿宋_GB2312" w:hAnsi="仿宋_GB2312" w:eastAsia="仿宋_GB2312" w:cs="仿宋_GB2312"/>
          <w:color w:val="auto"/>
          <w:sz w:val="32"/>
          <w:szCs w:val="32"/>
          <w:highlight w:val="none"/>
        </w:rPr>
        <w:t>工作站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基地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特点</w:t>
      </w:r>
      <w:r>
        <w:rPr>
          <w:rFonts w:hint="eastAsia" w:ascii="仿宋_GB2312" w:hAnsi="仿宋_GB2312" w:eastAsia="仿宋_GB2312" w:cs="仿宋_GB2312"/>
          <w:color w:val="auto"/>
          <w:sz w:val="32"/>
          <w:szCs w:val="32"/>
          <w:highlight w:val="none"/>
          <w:lang w:val="en-US" w:eastAsia="zh-CN"/>
        </w:rPr>
        <w:t>建立健全博士后平台评估指标体系，实行等级评定制度，并根据情况变化适时进行修订。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 xml:space="preserve">章 </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评估</w:t>
      </w:r>
      <w:r>
        <w:rPr>
          <w:rFonts w:hint="eastAsia" w:ascii="黑体" w:hAnsi="黑体" w:eastAsia="黑体" w:cs="黑体"/>
          <w:color w:val="auto"/>
          <w:sz w:val="32"/>
          <w:szCs w:val="32"/>
          <w:highlight w:val="none"/>
          <w:lang w:val="en-US" w:eastAsia="zh-CN"/>
        </w:rPr>
        <w:t>的组织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第九条</w:t>
      </w:r>
      <w:r>
        <w:rPr>
          <w:rFonts w:hint="eastAsia" w:ascii="仿宋_GB2312" w:hAnsi="仿宋_GB2312" w:eastAsia="仿宋_GB2312" w:cs="仿宋_GB2312"/>
          <w:color w:val="auto"/>
          <w:sz w:val="32"/>
          <w:szCs w:val="32"/>
          <w:highlight w:val="none"/>
          <w:lang w:val="en-US" w:eastAsia="zh-CN"/>
        </w:rPr>
        <w:t xml:space="preserve">  省人力资源社会保障厅根据本办法规定按程序组织博士后平台的评估工作。常规评估从本办法印发当年度开始组织，建站评估根据全省博士后平台设立情况组织。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第十条  </w:t>
      </w:r>
      <w:r>
        <w:rPr>
          <w:rFonts w:hint="eastAsia" w:ascii="仿宋_GB2312" w:hAnsi="仿宋_GB2312" w:eastAsia="仿宋_GB2312" w:cs="仿宋_GB2312"/>
          <w:color w:val="auto"/>
          <w:sz w:val="32"/>
          <w:szCs w:val="32"/>
          <w:highlight w:val="none"/>
          <w:lang w:val="en-US" w:eastAsia="zh-CN"/>
        </w:rPr>
        <w:t>各设区的市人力资源社会保障局、博士后科研流动站设站单位按照省人力社会保障厅通知部署，结合评估类别要求，分别组织新设立平台、原有平台开展自评，如实收集填报相关数据材料，形成自评报告。各博士后平台对报送数据材料的真实性、及时性和完整性负责。对在评估工作中弄虚作假、瞒报谎报情况的，予以通报批评；情节严重的，依法依规严肃追究相关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第十一条  </w:t>
      </w:r>
      <w:r>
        <w:rPr>
          <w:rFonts w:hint="eastAsia" w:ascii="仿宋_GB2312" w:hAnsi="仿宋_GB2312" w:eastAsia="仿宋_GB2312" w:cs="仿宋_GB2312"/>
          <w:color w:val="auto"/>
          <w:sz w:val="32"/>
          <w:szCs w:val="32"/>
          <w:highlight w:val="none"/>
          <w:lang w:val="en-US" w:eastAsia="zh-CN"/>
        </w:rPr>
        <w:t>各设区的市人力资源社会保障局、博士后科研流动站设站单位分别对所管理的博士后平台报送的评估材料进行汇总、核查，必要时可组织进行有针对性实地检查，提出参加评估的博士后平台的评定等级建议报省人力资源社会保障厅。</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highlight w:val="none"/>
          <w:lang w:val="en-US" w:eastAsia="zh-CN"/>
        </w:rPr>
        <w:t>第十二条</w:t>
      </w:r>
      <w:r>
        <w:rPr>
          <w:rFonts w:hint="eastAsia" w:ascii="仿宋_GB2312" w:hAnsi="仿宋_GB2312" w:eastAsia="仿宋_GB2312" w:cs="仿宋_GB2312"/>
          <w:color w:val="auto"/>
          <w:sz w:val="32"/>
          <w:szCs w:val="32"/>
          <w:highlight w:val="none"/>
          <w:lang w:val="en-US" w:eastAsia="zh-CN"/>
        </w:rPr>
        <w:t xml:space="preserve">  省人力资源社会保障厅综合日常工作监测、调研等对评估等级意见进行确认和公示。公示无异议的，对评估结果予以</w:t>
      </w:r>
      <w:r>
        <w:rPr>
          <w:rFonts w:hint="eastAsia" w:ascii="仿宋_GB2312" w:hAnsi="仿宋_GB2312" w:eastAsia="仿宋_GB2312" w:cs="仿宋_GB2312"/>
          <w:color w:val="auto"/>
          <w:sz w:val="32"/>
          <w:szCs w:val="32"/>
          <w:lang w:val="en-US" w:eastAsia="zh-CN"/>
        </w:rPr>
        <w:t>通报</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eastAsia="zh-CN"/>
        </w:rPr>
        <w:t>必要时，可委托第三方机构或</w:t>
      </w:r>
      <w:r>
        <w:rPr>
          <w:rFonts w:hint="eastAsia" w:ascii="仿宋_GB2312" w:hAnsi="仿宋_GB2312" w:eastAsia="仿宋_GB2312" w:cs="仿宋_GB2312"/>
          <w:color w:val="auto"/>
          <w:sz w:val="32"/>
          <w:szCs w:val="32"/>
          <w:lang w:val="en-US" w:eastAsia="zh-CN"/>
        </w:rPr>
        <w:t>组织专门人员</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lang w:val="en-US" w:eastAsia="zh-CN"/>
        </w:rPr>
        <w:t>评估的实地核查工作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第四章  评估结果及使用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rightChars="0" w:firstLine="0"/>
        <w:jc w:val="left"/>
        <w:textAlignment w:val="auto"/>
        <w:outlineLvl w:val="9"/>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i w:val="0"/>
          <w:iCs w:val="0"/>
          <w:caps w:val="0"/>
          <w:color w:val="auto"/>
          <w:spacing w:val="0"/>
          <w:sz w:val="21"/>
          <w:szCs w:val="21"/>
          <w:shd w:val="clear" w:fill="FFFFFF"/>
          <w:lang w:val="en-US" w:eastAsia="zh-CN"/>
        </w:rPr>
        <w:t xml:space="preserve">   </w:t>
      </w:r>
      <w:r>
        <w:rPr>
          <w:rFonts w:hint="eastAsia" w:ascii="仿宋_GB2312" w:hAnsi="仿宋_GB2312" w:eastAsia="仿宋_GB2312" w:cs="仿宋_GB2312"/>
          <w:color w:val="auto"/>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建站评估结果分为合格、不合格两个等级；常规评估结果分为优秀、合格、不合格三个等级。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rightChars="0" w:firstLine="640"/>
        <w:jc w:val="left"/>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 xml:space="preserve">第十四条  </w:t>
      </w:r>
      <w:r>
        <w:rPr>
          <w:rFonts w:hint="eastAsia" w:ascii="仿宋_GB2312" w:hAnsi="仿宋_GB2312" w:eastAsia="仿宋_GB2312" w:cs="仿宋_GB2312"/>
          <w:color w:val="auto"/>
          <w:sz w:val="32"/>
          <w:szCs w:val="32"/>
          <w:lang w:val="en-US" w:eastAsia="zh-CN"/>
        </w:rPr>
        <w:t>对评估结果优秀的，省人力资源社会保障厅将给予通报表扬，在</w:t>
      </w:r>
      <w:r>
        <w:rPr>
          <w:rFonts w:hint="eastAsia" w:ascii="仿宋_GB2312" w:hAnsi="仿宋_GB2312" w:eastAsia="仿宋_GB2312" w:cs="仿宋_GB2312"/>
          <w:color w:val="auto"/>
          <w:sz w:val="32"/>
          <w:szCs w:val="32"/>
          <w:lang w:val="en-US" w:eastAsia="zh-CN"/>
        </w:rPr>
        <w:t>优秀博士后、博士后合作导师、博士后管理工作者推荐表扬</w:t>
      </w:r>
      <w:r>
        <w:rPr>
          <w:rFonts w:hint="eastAsia" w:ascii="仿宋_GB2312" w:hAnsi="仿宋_GB2312" w:eastAsia="仿宋_GB2312" w:cs="仿宋_GB2312"/>
          <w:color w:val="auto"/>
          <w:sz w:val="32"/>
          <w:szCs w:val="32"/>
          <w:lang w:val="en-US" w:eastAsia="zh-CN"/>
        </w:rPr>
        <w:t>工作中予以倾斜支持，并优先推荐评估优秀的博士后创新实践基地备案设立博士后科研工作站。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left"/>
        <w:textAlignment w:val="auto"/>
        <w:outlineLvl w:val="9"/>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对评估结果不合格的，省人力资源社会保障厅将提出警告并纳入重点关注名单，给予6—12个月限期整改；整改期满仍不合格的，按规定予以撤销博士后平台设立资格。撤销的博士后平台三年后方可重新申请设立。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有下列情形之一的博士后平台，省人力资源社会保障厅直接确定为“不合格”等次：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1.无特殊原因拒不参加评估的；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lef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2.评估过程中弄虚作假的；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lef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3.新设站后一</w:t>
      </w:r>
      <w:r>
        <w:rPr>
          <w:rFonts w:hint="default" w:ascii="仿宋_GB2312" w:hAnsi="仿宋_GB2312" w:eastAsia="仿宋_GB2312" w:cs="仿宋_GB2312"/>
          <w:color w:val="auto"/>
          <w:sz w:val="32"/>
          <w:szCs w:val="32"/>
          <w:lang w:val="en-US" w:eastAsia="zh-CN"/>
        </w:rPr>
        <w:t>年内未招收博士后</w:t>
      </w:r>
      <w:r>
        <w:rPr>
          <w:rFonts w:hint="eastAsia" w:ascii="仿宋_GB2312" w:hAnsi="仿宋_GB2312" w:eastAsia="仿宋_GB2312" w:cs="仿宋_GB2312"/>
          <w:color w:val="auto"/>
          <w:sz w:val="32"/>
          <w:szCs w:val="32"/>
          <w:lang w:val="en-US" w:eastAsia="zh-CN"/>
        </w:rPr>
        <w:t>的；或新设基地后两年内未招收博士后的；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lef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4.评估后</w:t>
      </w:r>
      <w:r>
        <w:rPr>
          <w:rFonts w:hint="default" w:ascii="仿宋_GB2312" w:hAnsi="仿宋_GB2312" w:eastAsia="仿宋_GB2312" w:cs="仿宋_GB2312"/>
          <w:color w:val="auto"/>
          <w:sz w:val="32"/>
          <w:szCs w:val="32"/>
          <w:lang w:val="en-US" w:eastAsia="zh-CN"/>
        </w:rPr>
        <w:t>连续</w:t>
      </w:r>
      <w:r>
        <w:rPr>
          <w:rFonts w:hint="eastAsia" w:ascii="仿宋_GB2312" w:hAnsi="仿宋_GB2312" w:eastAsia="仿宋_GB2312" w:cs="仿宋_GB2312"/>
          <w:color w:val="auto"/>
          <w:sz w:val="32"/>
          <w:szCs w:val="32"/>
          <w:lang w:val="en-US" w:eastAsia="zh-CN"/>
        </w:rPr>
        <w:t>两</w:t>
      </w:r>
      <w:r>
        <w:rPr>
          <w:rFonts w:hint="default" w:ascii="仿宋_GB2312" w:hAnsi="仿宋_GB2312" w:eastAsia="仿宋_GB2312" w:cs="仿宋_GB2312"/>
          <w:color w:val="auto"/>
          <w:sz w:val="32"/>
          <w:szCs w:val="32"/>
          <w:lang w:val="en-US" w:eastAsia="zh-CN"/>
        </w:rPr>
        <w:t>年未招收博士后</w:t>
      </w:r>
      <w:r>
        <w:rPr>
          <w:rFonts w:hint="eastAsia" w:ascii="仿宋_GB2312" w:hAnsi="仿宋_GB2312" w:eastAsia="仿宋_GB2312" w:cs="仿宋_GB2312"/>
          <w:color w:val="auto"/>
          <w:sz w:val="32"/>
          <w:szCs w:val="32"/>
          <w:lang w:val="en-US" w:eastAsia="zh-CN"/>
        </w:rPr>
        <w:t>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lef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5.没有</w:t>
      </w:r>
      <w:r>
        <w:rPr>
          <w:rFonts w:hint="default" w:ascii="仿宋_GB2312" w:hAnsi="仿宋_GB2312" w:eastAsia="仿宋_GB2312" w:cs="仿宋_GB2312"/>
          <w:color w:val="auto"/>
          <w:sz w:val="32"/>
          <w:szCs w:val="32"/>
          <w:lang w:val="en-US" w:eastAsia="zh-CN"/>
        </w:rPr>
        <w:t>为博士后提供</w:t>
      </w:r>
      <w:r>
        <w:rPr>
          <w:rFonts w:hint="eastAsia" w:ascii="仿宋_GB2312" w:hAnsi="仿宋_GB2312" w:eastAsia="仿宋_GB2312" w:cs="仿宋_GB2312"/>
          <w:color w:val="auto"/>
          <w:sz w:val="32"/>
          <w:szCs w:val="32"/>
          <w:lang w:val="en-US" w:eastAsia="zh-CN"/>
        </w:rPr>
        <w:t>承诺</w:t>
      </w:r>
      <w:r>
        <w:rPr>
          <w:rFonts w:hint="default" w:ascii="仿宋_GB2312" w:hAnsi="仿宋_GB2312" w:eastAsia="仿宋_GB2312" w:cs="仿宋_GB2312"/>
          <w:color w:val="auto"/>
          <w:sz w:val="32"/>
          <w:szCs w:val="32"/>
          <w:lang w:val="en-US" w:eastAsia="zh-CN"/>
        </w:rPr>
        <w:t>的科研、生活条件，或因业务调整、重组、破产等原因无法继续开展博士后工作</w:t>
      </w:r>
      <w:r>
        <w:rPr>
          <w:rFonts w:hint="eastAsia" w:ascii="仿宋_GB2312" w:hAnsi="仿宋_GB2312" w:eastAsia="仿宋_GB2312" w:cs="仿宋_GB2312"/>
          <w:color w:val="auto"/>
          <w:sz w:val="32"/>
          <w:szCs w:val="32"/>
          <w:lang w:val="en-US" w:eastAsia="zh-CN"/>
        </w:rPr>
        <w:t>的</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宋体" w:eastAsia="仿宋_GB2312" w:cs="仿宋_GB2312"/>
          <w:i w:val="0"/>
          <w:iCs w:val="0"/>
          <w:caps w:val="0"/>
          <w:color w:val="auto"/>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黑体" w:hAnsi="黑体" w:eastAsia="黑体" w:cs="宋体"/>
          <w:bCs/>
          <w:color w:val="auto"/>
          <w:kern w:val="0"/>
          <w:sz w:val="32"/>
          <w:szCs w:val="32"/>
          <w:lang w:eastAsia="zh-CN"/>
        </w:rPr>
      </w:pPr>
      <w:r>
        <w:rPr>
          <w:rFonts w:hint="eastAsia" w:ascii="黑体" w:hAnsi="黑体" w:eastAsia="黑体" w:cs="宋体"/>
          <w:bCs/>
          <w:color w:val="auto"/>
          <w:kern w:val="0"/>
          <w:sz w:val="32"/>
          <w:szCs w:val="32"/>
          <w:lang w:val="en-US" w:eastAsia="zh-CN"/>
        </w:rPr>
        <w:t xml:space="preserve">第五章  </w:t>
      </w:r>
      <w:r>
        <w:rPr>
          <w:rFonts w:hint="eastAsia" w:ascii="黑体" w:hAnsi="黑体" w:eastAsia="黑体" w:cs="宋体"/>
          <w:bCs/>
          <w:color w:val="auto"/>
          <w:kern w:val="0"/>
          <w:sz w:val="32"/>
          <w:szCs w:val="32"/>
          <w:lang w:eastAsia="zh-CN"/>
        </w:rPr>
        <w:t>附则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第十七条</w:t>
      </w:r>
      <w:r>
        <w:rPr>
          <w:rFonts w:hint="eastAsia" w:ascii="仿宋_GB2312" w:hAnsi="仿宋_GB2312" w:eastAsia="仿宋_GB2312" w:cs="仿宋_GB2312"/>
          <w:color w:val="auto"/>
          <w:sz w:val="32"/>
          <w:szCs w:val="32"/>
          <w:highlight w:val="none"/>
          <w:lang w:val="en-US" w:eastAsia="zh-CN"/>
        </w:rPr>
        <w:t xml:space="preserve">  本办法由省人力资源社会保障厅负责解释。</w:t>
      </w:r>
    </w:p>
    <w:p>
      <w:pPr>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第十八条</w:t>
      </w:r>
      <w:r>
        <w:rPr>
          <w:rFonts w:hint="eastAsia" w:ascii="仿宋_GB2312" w:hAnsi="仿宋_GB2312" w:eastAsia="仿宋_GB2312" w:cs="仿宋_GB2312"/>
          <w:color w:val="auto"/>
          <w:sz w:val="32"/>
          <w:szCs w:val="32"/>
          <w:highlight w:val="none"/>
          <w:lang w:val="en-US" w:eastAsia="zh-CN"/>
        </w:rPr>
        <w:t xml:space="preserve">  本办法自印发之日起施行。施行期间，如国家和省出台新规定的，从其规定。</w:t>
      </w:r>
    </w:p>
    <w:p>
      <w:pPr>
        <w:pStyle w:val="10"/>
        <w:rPr>
          <w:rFonts w:hint="eastAsia"/>
          <w:color w:val="auto"/>
          <w:lang w:val="en-US" w:eastAsia="zh-CN"/>
        </w:rPr>
        <w:sectPr>
          <w:footerReference r:id="rId3" w:type="default"/>
          <w:pgSz w:w="11906" w:h="16838"/>
          <w:pgMar w:top="2098" w:right="1531" w:bottom="1814" w:left="1531" w:header="851" w:footer="1587" w:gutter="0"/>
          <w:pgNumType w:fmt="decimal"/>
          <w:cols w:space="0" w:num="1"/>
          <w:rtlGutter w:val="0"/>
          <w:docGrid w:type="linesAndChars" w:linePitch="587" w:charSpace="-849"/>
        </w:sectPr>
      </w:pPr>
    </w:p>
    <w:p>
      <w:pPr>
        <w:pStyle w:val="10"/>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bookmarkStart w:id="0" w:name="_GoBack"/>
      <w:bookmarkEnd w:id="0"/>
    </w:p>
    <w:p>
      <w:pPr>
        <w:pStyle w:val="10"/>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p>
      <w:pPr>
        <w:pStyle w:val="10"/>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276" w:firstLineChars="1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1270</wp:posOffset>
                </wp:positionV>
                <wp:extent cx="5615940" cy="0"/>
                <wp:effectExtent l="0" t="0" r="0" b="0"/>
                <wp:wrapNone/>
                <wp:docPr id="16"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0.1pt;height:0pt;width:442.2pt;z-index:251662336;mso-width-relative:page;mso-height-relative:page;" filled="f" stroked="t" coordsize="21600,2160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&#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juPIF0gAAAAIBAAAPAAAAAAAAAAEAIAAAACIAAABk&#10;cnMvZG93bnJldi54bWxQSwECFAAUAAAACACHTuJA2GSwQdMBAACdAwAADgAAAAAAAAABACAAAAAh&#10;AQAAZHJzL2Uyb0RvYy54bWxQSwUGAAAAAAYABgBZAQAAZg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374015</wp:posOffset>
                </wp:positionV>
                <wp:extent cx="5615940" cy="0"/>
                <wp:effectExtent l="0" t="0" r="0" b="0"/>
                <wp:wrapNone/>
                <wp:docPr id="18"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29.45pt;height:0pt;width:442.2pt;z-index:251661312;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NJAtt1gAAAAYBAAAPAAAAAAAAAAEAIAAAACIA&#10;AABkcnMvZG93bnJldi54bWxQSwECFAAUAAAACACHTuJAeq+s09IBAACdAwAADgAAAAAAAAABACAA&#10;AAAlAQAAZHJzL2Uyb0RvYy54bWxQSwUGAAAAAAYABgBZAQAAaQ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山东省人力资源和社会保障厅办公室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日印发</w:t>
      </w:r>
    </w:p>
    <w:p>
      <w:pPr>
        <w:spacing w:line="540" w:lineRule="exact"/>
        <w:ind w:left="0" w:leftChars="0" w:right="552" w:firstLine="276" w:firstLineChars="100"/>
        <w:outlineLvl w:val="9"/>
        <w:rPr>
          <w:rFonts w:hint="default"/>
          <w:color w:val="auto"/>
          <w:lang w:val="en-US"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394335</wp:posOffset>
                </wp:positionV>
                <wp:extent cx="5615940" cy="0"/>
                <wp:effectExtent l="0" t="0" r="0" b="0"/>
                <wp:wrapNone/>
                <wp:docPr id="17"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05pt;margin-top:31.05pt;height:0pt;width:442.2pt;z-index:251660288;mso-width-relative:page;mso-height-relative:page;" filled="f" stroked="t" coordsize="21600,21600" o:gfxdata="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8wp691AAAAAYBAAAPAAAAAAAAAAEAIAAAACIA&#10;AABkcnMvZG93bnJldi54bWxQSwECFAAUAAAACACHTuJA55B7gtQBAACdAwAADgAAAAAAAAABACAA&#10;AAAjAQAAZHJzL2Uyb0RvYy54bWxQSwUGAAAAAAYABgBZAQAAaQ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校核人：程绍明</w:t>
      </w:r>
    </w:p>
    <w:sectPr>
      <w:footerReference r:id="rId4"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汉仪书宋二KW">
    <w:altName w:val="宋体"/>
    <w:panose1 w:val="00020600040101010101"/>
    <w:charset w:val="86"/>
    <w:family w:val="auto"/>
    <w:pitch w:val="default"/>
    <w:sig w:usb0="00000000" w:usb1="00000000" w:usb2="00000016" w:usb3="00000000" w:csb0="00040000" w:csb1="00000000"/>
  </w:font>
  <w:font w:name="Helvetica Neue">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9D0EA3"/>
    <w:rsid w:val="00C823C4"/>
    <w:rsid w:val="010E7B40"/>
    <w:rsid w:val="0164006A"/>
    <w:rsid w:val="01795DC8"/>
    <w:rsid w:val="019A3AA2"/>
    <w:rsid w:val="0205356F"/>
    <w:rsid w:val="02072F3F"/>
    <w:rsid w:val="02DC400F"/>
    <w:rsid w:val="02E24306"/>
    <w:rsid w:val="031B058E"/>
    <w:rsid w:val="037E7460"/>
    <w:rsid w:val="03FD4168"/>
    <w:rsid w:val="041733A0"/>
    <w:rsid w:val="041A02DA"/>
    <w:rsid w:val="04677A9E"/>
    <w:rsid w:val="047B0192"/>
    <w:rsid w:val="04C16F98"/>
    <w:rsid w:val="056469A6"/>
    <w:rsid w:val="05873FB5"/>
    <w:rsid w:val="059726A3"/>
    <w:rsid w:val="05C8750C"/>
    <w:rsid w:val="06256193"/>
    <w:rsid w:val="062D0413"/>
    <w:rsid w:val="06324807"/>
    <w:rsid w:val="06432985"/>
    <w:rsid w:val="069A0A43"/>
    <w:rsid w:val="06B92903"/>
    <w:rsid w:val="072357CC"/>
    <w:rsid w:val="07D37038"/>
    <w:rsid w:val="08273E74"/>
    <w:rsid w:val="088176B4"/>
    <w:rsid w:val="08BB0738"/>
    <w:rsid w:val="09640E9E"/>
    <w:rsid w:val="097C2405"/>
    <w:rsid w:val="09B20E0E"/>
    <w:rsid w:val="0B0A4D29"/>
    <w:rsid w:val="0C7409B0"/>
    <w:rsid w:val="0C7D1230"/>
    <w:rsid w:val="0CAF0888"/>
    <w:rsid w:val="0CF63E15"/>
    <w:rsid w:val="0DF63AB9"/>
    <w:rsid w:val="0E370B89"/>
    <w:rsid w:val="0E8A0CB9"/>
    <w:rsid w:val="0F7B0D97"/>
    <w:rsid w:val="10790277"/>
    <w:rsid w:val="10BE2E9B"/>
    <w:rsid w:val="132D66E8"/>
    <w:rsid w:val="138C4AB5"/>
    <w:rsid w:val="13D15C77"/>
    <w:rsid w:val="13D34898"/>
    <w:rsid w:val="13E744B7"/>
    <w:rsid w:val="142B6890"/>
    <w:rsid w:val="14363F8E"/>
    <w:rsid w:val="14961592"/>
    <w:rsid w:val="14D42BBE"/>
    <w:rsid w:val="14FE762F"/>
    <w:rsid w:val="15014821"/>
    <w:rsid w:val="151928A2"/>
    <w:rsid w:val="154216B5"/>
    <w:rsid w:val="15F72E61"/>
    <w:rsid w:val="16A94232"/>
    <w:rsid w:val="16AB2114"/>
    <w:rsid w:val="17215F32"/>
    <w:rsid w:val="172F13BB"/>
    <w:rsid w:val="173D05DB"/>
    <w:rsid w:val="175B6524"/>
    <w:rsid w:val="17A65BD3"/>
    <w:rsid w:val="17EA6408"/>
    <w:rsid w:val="181B2472"/>
    <w:rsid w:val="181B2628"/>
    <w:rsid w:val="196842EC"/>
    <w:rsid w:val="19B83F55"/>
    <w:rsid w:val="1A0E13CA"/>
    <w:rsid w:val="1A202A12"/>
    <w:rsid w:val="1A8E2F84"/>
    <w:rsid w:val="1AD1624B"/>
    <w:rsid w:val="1B340B74"/>
    <w:rsid w:val="1B5B50EE"/>
    <w:rsid w:val="1B8262D9"/>
    <w:rsid w:val="1B953BF9"/>
    <w:rsid w:val="1C4C5F9C"/>
    <w:rsid w:val="1D9A7CDD"/>
    <w:rsid w:val="1DBE55DE"/>
    <w:rsid w:val="1DC835AB"/>
    <w:rsid w:val="1E2515A3"/>
    <w:rsid w:val="1E92670F"/>
    <w:rsid w:val="1EC2624D"/>
    <w:rsid w:val="1EDC29E4"/>
    <w:rsid w:val="1FB1011A"/>
    <w:rsid w:val="200308CB"/>
    <w:rsid w:val="20483D47"/>
    <w:rsid w:val="205729C5"/>
    <w:rsid w:val="20AB0F20"/>
    <w:rsid w:val="20F227E1"/>
    <w:rsid w:val="21DA38AD"/>
    <w:rsid w:val="22326B0B"/>
    <w:rsid w:val="23515DF1"/>
    <w:rsid w:val="24212C83"/>
    <w:rsid w:val="248C70E1"/>
    <w:rsid w:val="25180974"/>
    <w:rsid w:val="260B5AC7"/>
    <w:rsid w:val="268F1A68"/>
    <w:rsid w:val="26C012C4"/>
    <w:rsid w:val="277F117F"/>
    <w:rsid w:val="278B273D"/>
    <w:rsid w:val="27BA3F65"/>
    <w:rsid w:val="27CA4388"/>
    <w:rsid w:val="28335E75"/>
    <w:rsid w:val="28D62084"/>
    <w:rsid w:val="28E50522"/>
    <w:rsid w:val="292F2731"/>
    <w:rsid w:val="2944442E"/>
    <w:rsid w:val="294C6E3F"/>
    <w:rsid w:val="29700F5B"/>
    <w:rsid w:val="297B340B"/>
    <w:rsid w:val="298F4F7D"/>
    <w:rsid w:val="2A392E1D"/>
    <w:rsid w:val="2A3D253A"/>
    <w:rsid w:val="2A4768B0"/>
    <w:rsid w:val="2A500CAE"/>
    <w:rsid w:val="2ACF2EEE"/>
    <w:rsid w:val="2B0971E3"/>
    <w:rsid w:val="2BCF222A"/>
    <w:rsid w:val="2CBC077F"/>
    <w:rsid w:val="2CF25F4F"/>
    <w:rsid w:val="2CFB12A7"/>
    <w:rsid w:val="2D3C71CA"/>
    <w:rsid w:val="2D5262DB"/>
    <w:rsid w:val="2D577841"/>
    <w:rsid w:val="2D606639"/>
    <w:rsid w:val="2D6B6DED"/>
    <w:rsid w:val="2E440655"/>
    <w:rsid w:val="2E9372BE"/>
    <w:rsid w:val="2F0B5380"/>
    <w:rsid w:val="2F3652F6"/>
    <w:rsid w:val="2F9704F5"/>
    <w:rsid w:val="2FC02A1E"/>
    <w:rsid w:val="30AA6C8D"/>
    <w:rsid w:val="30DA11D4"/>
    <w:rsid w:val="31126CE6"/>
    <w:rsid w:val="312468F3"/>
    <w:rsid w:val="314A45AB"/>
    <w:rsid w:val="31DA26D5"/>
    <w:rsid w:val="31E06CBE"/>
    <w:rsid w:val="32695D76"/>
    <w:rsid w:val="326D48EE"/>
    <w:rsid w:val="326E468C"/>
    <w:rsid w:val="32A97E05"/>
    <w:rsid w:val="332B4A08"/>
    <w:rsid w:val="35026192"/>
    <w:rsid w:val="35986E4F"/>
    <w:rsid w:val="359F1663"/>
    <w:rsid w:val="35D2691D"/>
    <w:rsid w:val="35F01830"/>
    <w:rsid w:val="360402A5"/>
    <w:rsid w:val="364F0BA1"/>
    <w:rsid w:val="36F6663C"/>
    <w:rsid w:val="37502B2A"/>
    <w:rsid w:val="37740FCE"/>
    <w:rsid w:val="37A41D87"/>
    <w:rsid w:val="37FC3C19"/>
    <w:rsid w:val="38277518"/>
    <w:rsid w:val="38885357"/>
    <w:rsid w:val="38C20B2E"/>
    <w:rsid w:val="390D66F3"/>
    <w:rsid w:val="395446BF"/>
    <w:rsid w:val="39AA099D"/>
    <w:rsid w:val="39F527F2"/>
    <w:rsid w:val="3A4818A4"/>
    <w:rsid w:val="3A9F13DB"/>
    <w:rsid w:val="3AC27952"/>
    <w:rsid w:val="3B8F2A86"/>
    <w:rsid w:val="3BDA477E"/>
    <w:rsid w:val="3C7F0361"/>
    <w:rsid w:val="3C9A4E75"/>
    <w:rsid w:val="3CB641A2"/>
    <w:rsid w:val="3D3616D9"/>
    <w:rsid w:val="3DA37D71"/>
    <w:rsid w:val="3E491EE2"/>
    <w:rsid w:val="3E507B57"/>
    <w:rsid w:val="3ECD4DB7"/>
    <w:rsid w:val="3F7153F9"/>
    <w:rsid w:val="3F9A371F"/>
    <w:rsid w:val="3FC512A1"/>
    <w:rsid w:val="40725B56"/>
    <w:rsid w:val="41B50581"/>
    <w:rsid w:val="41B7136B"/>
    <w:rsid w:val="41FC3076"/>
    <w:rsid w:val="423B3903"/>
    <w:rsid w:val="42876CE2"/>
    <w:rsid w:val="433848E7"/>
    <w:rsid w:val="4352109E"/>
    <w:rsid w:val="4353167C"/>
    <w:rsid w:val="43BC0209"/>
    <w:rsid w:val="4415745D"/>
    <w:rsid w:val="443B022D"/>
    <w:rsid w:val="4459094D"/>
    <w:rsid w:val="44F47E43"/>
    <w:rsid w:val="4520705C"/>
    <w:rsid w:val="452847AC"/>
    <w:rsid w:val="458A4D6B"/>
    <w:rsid w:val="45A258DE"/>
    <w:rsid w:val="45E4394D"/>
    <w:rsid w:val="45EC4080"/>
    <w:rsid w:val="46394FC5"/>
    <w:rsid w:val="463B7048"/>
    <w:rsid w:val="46433319"/>
    <w:rsid w:val="46A03CB3"/>
    <w:rsid w:val="47005C08"/>
    <w:rsid w:val="47351F28"/>
    <w:rsid w:val="478E23E4"/>
    <w:rsid w:val="47FB404A"/>
    <w:rsid w:val="481340EA"/>
    <w:rsid w:val="48161EA0"/>
    <w:rsid w:val="48343AEC"/>
    <w:rsid w:val="4883110D"/>
    <w:rsid w:val="4A54394D"/>
    <w:rsid w:val="4AE76E5F"/>
    <w:rsid w:val="4B1732F9"/>
    <w:rsid w:val="4BB07C37"/>
    <w:rsid w:val="4BE020B6"/>
    <w:rsid w:val="4C0D364D"/>
    <w:rsid w:val="4C586B3D"/>
    <w:rsid w:val="4C7E73A7"/>
    <w:rsid w:val="4CCC4EC0"/>
    <w:rsid w:val="4D4B2916"/>
    <w:rsid w:val="4DBA3E3F"/>
    <w:rsid w:val="4DDD4E1A"/>
    <w:rsid w:val="4E141D71"/>
    <w:rsid w:val="4E5359D3"/>
    <w:rsid w:val="4ED84B4D"/>
    <w:rsid w:val="4F232E9B"/>
    <w:rsid w:val="4F3A3A7D"/>
    <w:rsid w:val="4F4E3061"/>
    <w:rsid w:val="4F560168"/>
    <w:rsid w:val="4FCB6460"/>
    <w:rsid w:val="51126E71"/>
    <w:rsid w:val="518F170F"/>
    <w:rsid w:val="51A74CAA"/>
    <w:rsid w:val="51DA6E2E"/>
    <w:rsid w:val="52C82DE5"/>
    <w:rsid w:val="52D97678"/>
    <w:rsid w:val="52DA54E7"/>
    <w:rsid w:val="52E9697A"/>
    <w:rsid w:val="5312649D"/>
    <w:rsid w:val="534053B7"/>
    <w:rsid w:val="53BFBD6A"/>
    <w:rsid w:val="547D0BE8"/>
    <w:rsid w:val="555B2034"/>
    <w:rsid w:val="56C70E4C"/>
    <w:rsid w:val="56F269C8"/>
    <w:rsid w:val="572F0FEC"/>
    <w:rsid w:val="575E3C09"/>
    <w:rsid w:val="579B3F05"/>
    <w:rsid w:val="58331046"/>
    <w:rsid w:val="587A4EC7"/>
    <w:rsid w:val="58C16652"/>
    <w:rsid w:val="58EA213A"/>
    <w:rsid w:val="590D6AC3"/>
    <w:rsid w:val="593F69CC"/>
    <w:rsid w:val="599C1E9B"/>
    <w:rsid w:val="59AD46C0"/>
    <w:rsid w:val="59C247DA"/>
    <w:rsid w:val="5A9457D7"/>
    <w:rsid w:val="5B6830FD"/>
    <w:rsid w:val="5B925430"/>
    <w:rsid w:val="5C2C64D8"/>
    <w:rsid w:val="5C4A6129"/>
    <w:rsid w:val="5CBF418B"/>
    <w:rsid w:val="5D320DA7"/>
    <w:rsid w:val="5D403E43"/>
    <w:rsid w:val="5D6B74D4"/>
    <w:rsid w:val="5D9440E8"/>
    <w:rsid w:val="5DAF1CB9"/>
    <w:rsid w:val="5DD024F5"/>
    <w:rsid w:val="5E5258B0"/>
    <w:rsid w:val="5E556D0B"/>
    <w:rsid w:val="5EA858B2"/>
    <w:rsid w:val="5EAC3900"/>
    <w:rsid w:val="5EAE0B30"/>
    <w:rsid w:val="5EE44E48"/>
    <w:rsid w:val="5EE906B0"/>
    <w:rsid w:val="5F562140"/>
    <w:rsid w:val="5F7D71F9"/>
    <w:rsid w:val="5FEC1CFE"/>
    <w:rsid w:val="61344213"/>
    <w:rsid w:val="61363DBB"/>
    <w:rsid w:val="616F3EC5"/>
    <w:rsid w:val="61B476EA"/>
    <w:rsid w:val="620B6B90"/>
    <w:rsid w:val="621D47BE"/>
    <w:rsid w:val="62851D42"/>
    <w:rsid w:val="62AA45FB"/>
    <w:rsid w:val="63E62FE7"/>
    <w:rsid w:val="642F125B"/>
    <w:rsid w:val="643C278B"/>
    <w:rsid w:val="645B574F"/>
    <w:rsid w:val="652E53A5"/>
    <w:rsid w:val="661B1DC2"/>
    <w:rsid w:val="66801E8C"/>
    <w:rsid w:val="676650EF"/>
    <w:rsid w:val="68097770"/>
    <w:rsid w:val="6841155D"/>
    <w:rsid w:val="68691940"/>
    <w:rsid w:val="6882347F"/>
    <w:rsid w:val="68874258"/>
    <w:rsid w:val="68CD06E2"/>
    <w:rsid w:val="697E1B4A"/>
    <w:rsid w:val="6ABE6E95"/>
    <w:rsid w:val="6B2D6E6C"/>
    <w:rsid w:val="6BB40298"/>
    <w:rsid w:val="6C2814C5"/>
    <w:rsid w:val="6C606BE6"/>
    <w:rsid w:val="6CB22ACD"/>
    <w:rsid w:val="6CDF200E"/>
    <w:rsid w:val="6D402DD6"/>
    <w:rsid w:val="6DAD528E"/>
    <w:rsid w:val="6DB12CE1"/>
    <w:rsid w:val="6DB427D1"/>
    <w:rsid w:val="6E041063"/>
    <w:rsid w:val="6F321C00"/>
    <w:rsid w:val="700C06A3"/>
    <w:rsid w:val="70AF595F"/>
    <w:rsid w:val="70C8271B"/>
    <w:rsid w:val="70DE2499"/>
    <w:rsid w:val="7158730C"/>
    <w:rsid w:val="715A6E19"/>
    <w:rsid w:val="71F70164"/>
    <w:rsid w:val="72D37C03"/>
    <w:rsid w:val="736C6726"/>
    <w:rsid w:val="737138FD"/>
    <w:rsid w:val="746C7962"/>
    <w:rsid w:val="75083B66"/>
    <w:rsid w:val="76AF1D88"/>
    <w:rsid w:val="76C94E50"/>
    <w:rsid w:val="783C324D"/>
    <w:rsid w:val="783E1615"/>
    <w:rsid w:val="7879264D"/>
    <w:rsid w:val="78BE16CF"/>
    <w:rsid w:val="792C33CB"/>
    <w:rsid w:val="79F171CA"/>
    <w:rsid w:val="7B8726A6"/>
    <w:rsid w:val="7C2154D6"/>
    <w:rsid w:val="7C5331B5"/>
    <w:rsid w:val="7C5C0B68"/>
    <w:rsid w:val="7CE45EC7"/>
    <w:rsid w:val="7DED7C18"/>
    <w:rsid w:val="7E1404C4"/>
    <w:rsid w:val="7E1A525C"/>
    <w:rsid w:val="7E34648B"/>
    <w:rsid w:val="7F6D458E"/>
    <w:rsid w:val="7FB0082D"/>
    <w:rsid w:val="7FC35A9C"/>
    <w:rsid w:val="7FDD5BB8"/>
    <w:rsid w:val="7FFF4D50"/>
    <w:rsid w:val="9BAF57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line="560" w:lineRule="exact"/>
      <w:ind w:left="0" w:leftChars="0" w:firstLine="420" w:firstLineChars="200"/>
    </w:pPr>
    <w:rPr>
      <w:rFonts w:eastAsia="Times New Roman"/>
      <w:sz w:val="20"/>
      <w:szCs w:val="20"/>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10">
    <w:name w:val="列出段落1"/>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2479</Words>
  <Characters>2513</Characters>
  <Lines>0</Lines>
  <Paragraphs>0</Paragraphs>
  <ScaleCrop>false</ScaleCrop>
  <LinksUpToDate>false</LinksUpToDate>
  <CharactersWithSpaces>2574</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2022-02-23T11:27:00Z</dcterms:created>
  <dc:creator>user</dc:creator>
  <cp:lastModifiedBy>秦娟娟（文印）</cp:lastModifiedBy>
  <cp:lastPrinted>2023-04-25T09:48:00Z</cp:lastPrinted>
  <dcterms:modified xsi:type="dcterms:W3CDTF">2023-05-04T07:50:39Z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85ABF39AF598497BA2316CCCCCECFCEB</vt:lpwstr>
  </property>
</Properties>
</file>