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鲁人社函〔2023〕18号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关于对2022年度全省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人力资源社会保障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业务技能练兵比武活动表现突出的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单位及个人通报表扬的通知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各市人力资源社会保障局：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近年来，全省各级</w:t>
      </w:r>
      <w:r>
        <w:rPr>
          <w:rFonts w:hint="default"/>
          <w:highlight w:val="none"/>
          <w:lang w:eastAsia="zh-CN"/>
        </w:rPr>
        <w:t>人力资源社会保障</w:t>
      </w:r>
      <w:r>
        <w:rPr>
          <w:rFonts w:hint="eastAsia"/>
          <w:highlight w:val="none"/>
          <w:lang w:val="en-US" w:eastAsia="zh-CN"/>
        </w:rPr>
        <w:t>部门积极开展业务技能练兵比武活动，组织系统干部职工以比促练、以练促学、学以致用，涌现出一批人社“知识通”、业务“一口清”，“学政策、钻业务、强技能、优服务”在系统内蔚然成风。2月24日，在人力资源社会保障部举办的2022年度全国人社窗口单位业务技能练兵比武统一在线比试中，我省代表队经过奋力拼搏，以团体成绩全国第三名荣获一等奖；张克宏、张开凤、何洋、陈玉娇、姜进辉5位选手被评为全国“人社知识通”，高娜娜、徐露翠、江静3名选手被评为全国“岗位练兵明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代表我省参赛的48名选手充分发扬拼搏精神，顶住疫情压力，克服各种困难，锲而不舍，勇于奉献，以实际行动集中展示了全省人社干部干事创业“三牛精神”和精益求精的职业素养。</w:t>
      </w:r>
      <w:r>
        <w:rPr>
          <w:rFonts w:hint="eastAsia"/>
          <w:highlight w:val="none"/>
          <w:lang w:val="en-US" w:eastAsia="zh-CN"/>
        </w:rPr>
        <w:t>比赛集训期间，各选手所在单位讲政治、顾大局，全力做好后勤保障，成为每一名选手的坚强后盾，为我省取得优秀成绩发挥了关键作用。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为表扬先进，倡树典型，经省厅研究，决定对在</w:t>
      </w:r>
      <w:r>
        <w:rPr>
          <w:rFonts w:hint="eastAsia"/>
          <w:highlight w:val="none"/>
          <w:lang w:val="en-US" w:eastAsia="zh-CN"/>
        </w:rPr>
        <w:t>2022年度全国人社窗口单位业务技能练兵比武统一在线比试</w:t>
      </w:r>
      <w:r>
        <w:rPr>
          <w:rFonts w:hint="eastAsia"/>
          <w:highlight w:val="none"/>
          <w:lang w:eastAsia="zh-CN"/>
        </w:rPr>
        <w:t>中表现突出的48名个人及其所在单位进行通报表扬。希望受表扬的单位和个人珍惜荣誉、再接再厉，不断取得新成绩、作出新贡献。全省各级</w:t>
      </w:r>
      <w:r>
        <w:rPr>
          <w:rFonts w:hint="default"/>
          <w:highlight w:val="none"/>
          <w:lang w:eastAsia="zh-CN"/>
        </w:rPr>
        <w:t>人力资源社会保障</w:t>
      </w:r>
      <w:r>
        <w:rPr>
          <w:rFonts w:hint="eastAsia"/>
          <w:highlight w:val="none"/>
          <w:lang w:eastAsia="zh-CN"/>
        </w:rPr>
        <w:t>部门要认真学习借鉴典型经验做法，不断开拓进取、守正创新，深入推动练兵比武活动常态化、长效化开展。广大人社干部要以受表扬的同志为榜样，立足岗位，苦练内功，切实提升为民服务本领，在高质量发展中书写人民满意的新时代人社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附件：</w:t>
      </w:r>
      <w:r>
        <w:rPr>
          <w:rFonts w:hint="eastAsia"/>
          <w:highlight w:val="none"/>
          <w:lang w:val="en-US" w:eastAsia="zh-CN"/>
        </w:rPr>
        <w:t>2022年度</w:t>
      </w:r>
      <w:r>
        <w:rPr>
          <w:rFonts w:hint="eastAsia"/>
          <w:highlight w:val="none"/>
          <w:lang w:eastAsia="zh-CN"/>
        </w:rPr>
        <w:t>练兵比武活动表现突出的单位及个人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3160" w:firstLineChars="1000"/>
        <w:jc w:val="center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3160" w:firstLineChars="1000"/>
        <w:jc w:val="center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2023年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〔联系单位：政务服务管理办公室（行风办）〕</w:t>
      </w:r>
    </w:p>
    <w:p>
      <w:pPr>
        <w:spacing w:before="0" w:beforeLines="0" w:line="580" w:lineRule="exact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练兵比武活动表现突出的单位及个人</w:t>
      </w:r>
    </w:p>
    <w:tbl>
      <w:tblPr>
        <w:tblStyle w:val="8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387"/>
        <w:gridCol w:w="6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 w:colFirst="2" w:colLast="2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王晓婷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孙继艳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赵宗强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济南市莱芜区人力资源和社会保障局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张  静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孙  静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王书秀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济南市槐荫区人力资源和社会保障局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高娜娜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济南市章丘区人力资源和社会保障局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宋冬梅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江一平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青岛市人力资源发展研究与促进中心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庄  坤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青岛市即墨区人力资源和社会保障局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江  静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青岛市胶州市人力资源和社会保障局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赵  越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青岛市市北区四方街道人力资源和社会保障服务中心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  俊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淄博市临淄区人力资源和社会保障局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徐庆彬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东营市人力资源和社会保障局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左金梅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王营营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28"/>
                <w:szCs w:val="28"/>
                <w:lang w:val="en-US" w:eastAsia="zh-CN"/>
              </w:rPr>
              <w:t>东营市河口区人力资源和社会保障局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白妍妍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玄子云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东营市垦利区人力资源和社会保障局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  朝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潍坊市青州市人力资源和社会保障局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陈玉娇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张克宏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桑  毅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赵修美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潍坊市诸城市人力资源和社会保障局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姜进辉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潍坊市昌邑市人力资源和社会保障局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孙晓光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济宁市任城区人力资源和社会保障局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李景云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济宁市鱼台县人力资源和社会保障局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黄  彪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济宁市嘉祥县人力资源和社会保障局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屠  晓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泰安市宁阳县人力资源和社会保障局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张开凤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泰安高新区人力资源和社会保障服务中心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王慧煜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威海市荣成市人力资源和社会保障局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武光瑛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临沂市沂水县人力资源和社会保障局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徐露翠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单晓梅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德州市宁津县人力资源和社会保障局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刘慧铮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2" w:name="OLE_LINK3"/>
            <w:r>
              <w:rPr>
                <w:rFonts w:hint="eastAsia"/>
                <w:sz w:val="28"/>
                <w:szCs w:val="28"/>
                <w:lang w:val="en-US" w:eastAsia="zh-CN"/>
              </w:rPr>
              <w:t>滨州市人力资源和社会保障局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李晓彤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赵丛文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张  伟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李国宗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杨  磊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崔贝贝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滨州市邹平市人力资源和社会保障局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何  洋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滨州市惠民县人力资源和社会保障局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贾  科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滨州市沾化区人力资源和社会保障局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鲍欣萌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滨州市博兴县人力资源和社会保障局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杨少华</w:t>
            </w:r>
          </w:p>
        </w:tc>
        <w:tc>
          <w:tcPr>
            <w:tcW w:w="6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滨州市滨城区人力资源和社会保障局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杜朝雯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菏泽市人力资源和社会保障局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孙亚真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李贵珍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  <w:lang w:eastAsia="zh-CN"/>
              </w:rPr>
              <w:t>齐肖婷</w:t>
            </w:r>
          </w:p>
        </w:tc>
        <w:tc>
          <w:tcPr>
            <w:tcW w:w="6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highlight w:val="yellow"/>
          <w:lang w:val="en-US" w:eastAsia="zh-CN"/>
        </w:rPr>
      </w:pPr>
    </w:p>
    <w:sectPr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jBiOTE1YTE5ZGNlZTdhOTUzOTdhYzBjMmMzYzMifQ=="/>
  </w:docVars>
  <w:rsids>
    <w:rsidRoot w:val="524C7293"/>
    <w:rsid w:val="071F1C19"/>
    <w:rsid w:val="112523B6"/>
    <w:rsid w:val="1C02643C"/>
    <w:rsid w:val="285A6745"/>
    <w:rsid w:val="2A385884"/>
    <w:rsid w:val="37FF3BC2"/>
    <w:rsid w:val="3F2B7560"/>
    <w:rsid w:val="44656253"/>
    <w:rsid w:val="45141198"/>
    <w:rsid w:val="4D0F1EAD"/>
    <w:rsid w:val="51A1512C"/>
    <w:rsid w:val="524C7293"/>
    <w:rsid w:val="52706B01"/>
    <w:rsid w:val="62181B09"/>
    <w:rsid w:val="66FC12B7"/>
    <w:rsid w:val="6FA3740D"/>
    <w:rsid w:val="6FEF2D87"/>
    <w:rsid w:val="700A06D0"/>
    <w:rsid w:val="74C72757"/>
    <w:rsid w:val="75687B58"/>
    <w:rsid w:val="76F72F78"/>
    <w:rsid w:val="775F4A1B"/>
    <w:rsid w:val="7DFFBADD"/>
    <w:rsid w:val="7F3FEC62"/>
    <w:rsid w:val="F5FB6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 w:after="0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1387</Words>
  <Characters>1447</Characters>
  <Lines>0</Lines>
  <Paragraphs>0</Paragraphs>
  <ScaleCrop>false</ScaleCrop>
  <LinksUpToDate>false</LinksUpToDate>
  <CharactersWithSpaces>1536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2023-03-03T01:44:00Z</dcterms:created>
  <dc:creator>杜海涛</dc:creator>
  <cp:lastModifiedBy>秦娟娟（文印）</cp:lastModifiedBy>
  <cp:lastPrinted>2023-04-01T09:04:00Z</cp:lastPrinted>
  <dcterms:modified xsi:type="dcterms:W3CDTF">2023-04-04T08:28:52Z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EF4CA553BA1E4800989CE90578686C8F</vt:lpwstr>
  </property>
</Properties>
</file>