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eastAsia="仿宋_GB231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宋体" w:hAnsi="宋体" w:cs="宋体"/>
          <w:color w:val="auto"/>
          <w:kern w:val="0"/>
          <w:szCs w:val="32"/>
        </w:rPr>
      </w:pPr>
      <w:r>
        <w:rPr>
          <w:rFonts w:hint="eastAsia" w:ascii="宋体" w:hAnsi="宋体" w:cs="宋体"/>
          <w:kern w:val="0"/>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宋体" w:hAnsi="宋体" w:cs="宋体"/>
          <w:color w:val="auto"/>
          <w:kern w:val="0"/>
          <w:szCs w:val="32"/>
        </w:rPr>
      </w:pPr>
      <w:r>
        <w:rPr>
          <w:rFonts w:hint="eastAsia" w:ascii="宋体" w:hAnsi="宋体" w:cs="宋体"/>
          <w:color w:val="auto"/>
          <w:kern w:val="0"/>
          <w:szCs w:val="32"/>
          <w:lang w:bidi="ar"/>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宋体" w:eastAsia="仿宋_GB2312" w:cs="宋体"/>
          <w:color w:val="auto"/>
          <w:kern w:val="0"/>
          <w:szCs w:val="32"/>
        </w:rPr>
      </w:pPr>
      <w:r>
        <w:rPr>
          <w:rFonts w:hint="eastAsia" w:ascii="仿宋_GB2312" w:hAnsi="宋体" w:eastAsia="仿宋_GB2312" w:cs="仿宋_GB2312"/>
          <w:color w:val="auto"/>
          <w:kern w:val="0"/>
          <w:szCs w:val="32"/>
          <w:lang w:bidi="ar"/>
        </w:rPr>
        <w:t>鲁人社字〔</w:t>
      </w:r>
      <w:r>
        <w:rPr>
          <w:rFonts w:hint="eastAsia" w:ascii="仿宋_GB2312" w:hAnsi="宋体" w:eastAsia="仿宋_GB2312" w:cs="宋体"/>
          <w:color w:val="auto"/>
          <w:kern w:val="0"/>
          <w:szCs w:val="32"/>
          <w:lang w:bidi="ar"/>
        </w:rPr>
        <w:t>2022〕</w:t>
      </w:r>
      <w:r>
        <w:rPr>
          <w:rFonts w:hint="eastAsia" w:ascii="仿宋_GB2312" w:hAnsi="宋体" w:eastAsia="仿宋_GB2312" w:cs="宋体"/>
          <w:color w:val="auto"/>
          <w:kern w:val="0"/>
          <w:szCs w:val="32"/>
          <w:lang w:val="en-US" w:eastAsia="zh-CN" w:bidi="ar"/>
        </w:rPr>
        <w:t>1</w:t>
      </w:r>
      <w:r>
        <w:rPr>
          <w:rFonts w:hint="eastAsia" w:hAnsi="宋体" w:cs="宋体"/>
          <w:color w:val="auto"/>
          <w:kern w:val="0"/>
          <w:szCs w:val="32"/>
          <w:lang w:val="en-US" w:eastAsia="zh-CN" w:bidi="ar"/>
        </w:rPr>
        <w:t>13</w:t>
      </w:r>
      <w:r>
        <w:rPr>
          <w:rFonts w:hint="eastAsia" w:ascii="仿宋_GB2312" w:hAnsi="宋体" w:eastAsia="仿宋_GB2312" w:cs="宋体"/>
          <w:color w:val="auto"/>
          <w:kern w:val="0"/>
          <w:szCs w:val="32"/>
          <w:lang w:bidi="ar"/>
        </w:rPr>
        <w:t>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仿宋_GB2312" w:hAnsi="仿宋_GB2312" w:eastAsia="仿宋_GB2312" w:cs="仿宋_GB2312"/>
          <w:color w:val="auto"/>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pP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hAnsi="黑体" w:eastAsia="方正小标宋简体" w:cs="黑体"/>
          <w:color w:val="000000"/>
          <w:sz w:val="44"/>
          <w:szCs w:val="44"/>
        </w:rPr>
        <w:t>山东省人力资源和社会保障厅</w:t>
      </w:r>
      <w:r>
        <w:rPr>
          <w:rFonts w:hint="default" w:ascii="方正小标宋简体" w:hAnsi="黑体" w:eastAsia="方正小标宋简体" w:cs="黑体"/>
          <w:color w:val="000000"/>
          <w:sz w:val="44"/>
          <w:szCs w:val="44"/>
        </w:rPr>
        <w:t>等5部门</w:t>
      </w:r>
      <w:r>
        <w:rPr>
          <w:rFonts w:hint="eastAsia" w:ascii="方正小标宋简体" w:eastAsia="方正小标宋简体"/>
          <w:sz w:val="44"/>
          <w:szCs w:val="44"/>
        </w:rPr>
        <w:t>关于</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转发人社厅发〔2022〕50号文件进一步</w:t>
      </w:r>
    </w:p>
    <w:p>
      <w:pPr>
        <w:keepNext w:val="0"/>
        <w:keepLines w:val="0"/>
        <w:pageBreakBefore w:val="0"/>
        <w:widowControl w:val="0"/>
        <w:kinsoku/>
        <w:wordWrap/>
        <w:overflowPunct/>
        <w:topLinePunct w:val="0"/>
        <w:autoSpaceDE w:val="0"/>
        <w:autoSpaceDN/>
        <w:bidi w:val="0"/>
        <w:adjustRightInd/>
        <w:snapToGrid/>
        <w:spacing w:line="580" w:lineRule="exact"/>
        <w:ind w:left="0" w:leftChars="0" w:right="0" w:right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做好阶段性缓缴社会保险费政策</w:t>
      </w:r>
    </w:p>
    <w:p>
      <w:pPr>
        <w:keepNext w:val="0"/>
        <w:keepLines w:val="0"/>
        <w:pageBreakBefore w:val="0"/>
        <w:widowControl w:val="0"/>
        <w:kinsoku/>
        <w:wordWrap/>
        <w:overflowPunct/>
        <w:topLinePunct w:val="0"/>
        <w:autoSpaceDN/>
        <w:bidi w:val="0"/>
        <w:adjustRightInd/>
        <w:snapToGrid/>
        <w:spacing w:line="580" w:lineRule="exact"/>
        <w:ind w:left="0" w:leftChars="0" w:right="0" w:rightChars="0"/>
        <w:jc w:val="center"/>
        <w:textAlignment w:val="auto"/>
        <w:outlineLvl w:val="9"/>
        <w:rPr>
          <w:rFonts w:ascii="方正小标宋简体" w:eastAsia="方正小标宋简体"/>
          <w:sz w:val="44"/>
          <w:szCs w:val="44"/>
        </w:rPr>
      </w:pPr>
      <w:r>
        <w:rPr>
          <w:rFonts w:hint="eastAsia" w:ascii="方正小标宋简体" w:eastAsia="方正小标宋简体"/>
          <w:sz w:val="44"/>
          <w:szCs w:val="44"/>
        </w:rPr>
        <w:t>实施工作有关问题的通知</w:t>
      </w:r>
    </w:p>
    <w:p>
      <w:pPr>
        <w:keepNext w:val="0"/>
        <w:keepLines w:val="0"/>
        <w:pageBreakBefore w:val="0"/>
        <w:widowControl w:val="0"/>
        <w:kinsoku/>
        <w:wordWrap/>
        <w:overflowPunct/>
        <w:topLinePunct w:val="0"/>
        <w:autoSpaceDN/>
        <w:bidi w:val="0"/>
        <w:adjustRightInd/>
        <w:snapToGrid/>
        <w:spacing w:line="580" w:lineRule="exact"/>
        <w:ind w:left="0" w:leftChars="0" w:right="0" w:rightChars="0"/>
        <w:jc w:val="center"/>
        <w:textAlignment w:val="auto"/>
        <w:outlineLvl w:val="9"/>
        <w:rPr>
          <w:szCs w:val="32"/>
        </w:rPr>
      </w:pPr>
    </w:p>
    <w:p>
      <w:pPr>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outlineLvl w:val="9"/>
        <w:rPr>
          <w:szCs w:val="32"/>
        </w:rPr>
      </w:pPr>
      <w:r>
        <w:rPr>
          <w:rFonts w:hint="eastAsia"/>
          <w:szCs w:val="32"/>
        </w:rPr>
        <w:t>各市人力资源社会保障局、发展改革委、财政</w:t>
      </w:r>
      <w:r>
        <w:rPr>
          <w:rFonts w:hint="eastAsia"/>
          <w:szCs w:val="32"/>
          <w:lang w:eastAsia="zh-CN"/>
        </w:rPr>
        <w:t>局</w:t>
      </w:r>
      <w:r>
        <w:rPr>
          <w:rFonts w:hint="eastAsia"/>
          <w:szCs w:val="32"/>
        </w:rPr>
        <w:t>，国家税务总局山东省各市税务局，国家税务总局青岛市各区、市税务局：</w:t>
      </w:r>
    </w:p>
    <w:p>
      <w:pPr>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outlineLvl w:val="9"/>
        <w:rPr>
          <w:szCs w:val="32"/>
        </w:rPr>
      </w:pPr>
      <w:r>
        <w:rPr>
          <w:rFonts w:hint="eastAsia"/>
          <w:szCs w:val="32"/>
        </w:rPr>
        <w:t xml:space="preserve">    现将《人力资源社会保障部办公厅国家发展改革委办公厅财政部办公厅国家税务总局办公厅关于进一步做好阶段性缓缴社会保险费政策实施工作有关问题的通知》（人社厅发〔2022〕50号）转发给你们，并结合我省实际</w:t>
      </w:r>
      <w:r>
        <w:rPr>
          <w:rFonts w:hint="default"/>
          <w:szCs w:val="32"/>
        </w:rPr>
        <w:t>提出以下意见</w:t>
      </w:r>
      <w:r>
        <w:rPr>
          <w:rFonts w:hint="eastAsia"/>
          <w:szCs w:val="32"/>
        </w:rPr>
        <w:t>，请一并贯彻执行。</w:t>
      </w:r>
    </w:p>
    <w:p>
      <w:pPr>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outlineLvl w:val="9"/>
        <w:rPr>
          <w:rFonts w:ascii="黑体" w:hAnsi="黑体" w:eastAsia="黑体"/>
          <w:szCs w:val="32"/>
        </w:rPr>
      </w:pPr>
      <w:r>
        <w:rPr>
          <w:rFonts w:hint="eastAsia" w:ascii="黑体" w:hAnsi="黑体" w:eastAsia="黑体"/>
          <w:szCs w:val="32"/>
        </w:rPr>
        <w:t xml:space="preserve">    一、调整“受疫情影响严重地区”认定</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32" w:firstLineChars="200"/>
        <w:textAlignment w:val="auto"/>
        <w:outlineLvl w:val="9"/>
        <w:rPr>
          <w:szCs w:val="32"/>
        </w:rPr>
      </w:pPr>
      <w:r>
        <w:rPr>
          <w:rFonts w:hint="eastAsia"/>
          <w:szCs w:val="32"/>
        </w:rPr>
        <w:t>根据受疫情影响情况，调整</w:t>
      </w:r>
      <w:r>
        <w:rPr>
          <w:rFonts w:hint="eastAsia" w:hAnsi="宋体" w:cs="Times New Roman"/>
          <w:szCs w:val="32"/>
        </w:rPr>
        <w:t>《山东省人力资源和社会保障厅山东省发展和改革委员会山东省财政厅国家税务总局山东省税务局国家税务总局青岛市税务局关于扩大阶段性缓缴社会保险费政策实施范围等问题的</w:t>
      </w:r>
      <w:r>
        <w:rPr>
          <w:rFonts w:hAnsi="宋体" w:cs="Times New Roman"/>
          <w:szCs w:val="32"/>
        </w:rPr>
        <w:t>通知</w:t>
      </w:r>
      <w:r>
        <w:rPr>
          <w:rFonts w:hint="eastAsia" w:hAnsi="宋体" w:cs="Times New Roman"/>
          <w:szCs w:val="32"/>
        </w:rPr>
        <w:t>》（鲁人社发〔2022〕15号）规定的“</w:t>
      </w:r>
      <w:r>
        <w:rPr>
          <w:rFonts w:hint="eastAsia"/>
          <w:szCs w:val="32"/>
        </w:rPr>
        <w:t>受疫情影响严重地区”认定范围，我省全部市、县（市、区）均认定为受疫情影响严重地区，各市无需再报送调整备案。申请缓缴的其他条件和期限不变。</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30"/>
        <w:textAlignment w:val="auto"/>
        <w:outlineLvl w:val="9"/>
        <w:rPr>
          <w:rFonts w:ascii="黑体" w:hAnsi="黑体" w:eastAsia="黑体"/>
          <w:szCs w:val="32"/>
        </w:rPr>
      </w:pPr>
      <w:r>
        <w:rPr>
          <w:rFonts w:hint="eastAsia" w:ascii="黑体" w:hAnsi="黑体" w:eastAsia="黑体"/>
          <w:szCs w:val="32"/>
        </w:rPr>
        <w:t>二、延长缓缴期满后费款补缴时限</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30"/>
        <w:textAlignment w:val="auto"/>
        <w:outlineLvl w:val="9"/>
        <w:rPr>
          <w:rFonts w:hAnsi="黑体" w:cs="Arial"/>
          <w:color w:val="000000"/>
          <w:szCs w:val="32"/>
        </w:rPr>
      </w:pPr>
      <w:r>
        <w:rPr>
          <w:rFonts w:hint="eastAsia"/>
          <w:szCs w:val="32"/>
        </w:rPr>
        <w:t>对于缓缴期满后一次性缴纳缓缴费款有困难的，与社保经办机构签订协议后，</w:t>
      </w:r>
      <w:r>
        <w:rPr>
          <w:rFonts w:hint="default"/>
          <w:szCs w:val="32"/>
        </w:rPr>
        <w:t>可</w:t>
      </w:r>
      <w:r>
        <w:rPr>
          <w:rFonts w:hint="eastAsia"/>
          <w:szCs w:val="32"/>
        </w:rPr>
        <w:t>分期缴纳。分期缴纳缓缴费款金额以月度缓缴费款为最小单位，原则上每2个月缴纳不低于1个月度的缓缴费款；全部缓缴费款应于2023年年底前补缴到位。具体分期办法由各市根据实际情况确定。分期分批补缴的缓缴费款</w:t>
      </w:r>
      <w:r>
        <w:rPr>
          <w:rFonts w:hint="eastAsia"/>
          <w:szCs w:val="32"/>
          <w:lang w:val="en-US" w:eastAsia="zh-CN"/>
        </w:rPr>
        <w:t>免收</w:t>
      </w:r>
      <w:r>
        <w:rPr>
          <w:rFonts w:hint="eastAsia"/>
          <w:szCs w:val="32"/>
        </w:rPr>
        <w:t>滞纳金。申请分期分批补缴的企业</w:t>
      </w:r>
      <w:r>
        <w:rPr>
          <w:rFonts w:hint="default"/>
          <w:szCs w:val="32"/>
        </w:rPr>
        <w:t>被</w:t>
      </w:r>
      <w:r>
        <w:rPr>
          <w:rFonts w:hint="eastAsia" w:hAnsi="黑体" w:cs="Arial"/>
          <w:color w:val="000000"/>
          <w:szCs w:val="32"/>
        </w:rPr>
        <w:t>注销、吊销或发生解散、破产、撤销、合并等情况的，应当事先补齐缓缴的费款。</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30"/>
        <w:textAlignment w:val="auto"/>
        <w:outlineLvl w:val="9"/>
        <w:rPr>
          <w:rFonts w:ascii="黑体" w:hAnsi="黑体" w:eastAsia="黑体"/>
          <w:szCs w:val="32"/>
        </w:rPr>
      </w:pPr>
      <w:r>
        <w:rPr>
          <w:rFonts w:hint="eastAsia" w:ascii="黑体" w:hAnsi="黑体" w:eastAsia="黑体"/>
          <w:szCs w:val="32"/>
        </w:rPr>
        <w:t>三、进一步简化缓缴申请流程</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30"/>
        <w:textAlignment w:val="auto"/>
        <w:outlineLvl w:val="9"/>
        <w:rPr>
          <w:rFonts w:hAnsi="黑体" w:cs="Arial"/>
          <w:color w:val="000000"/>
          <w:szCs w:val="32"/>
        </w:rPr>
      </w:pPr>
      <w:r>
        <w:rPr>
          <w:rFonts w:hint="eastAsia" w:hAnsi="黑体" w:cs="Arial"/>
          <w:color w:val="000000"/>
          <w:szCs w:val="32"/>
        </w:rPr>
        <w:t>通过部门数据共享</w:t>
      </w:r>
      <w:r>
        <w:rPr>
          <w:rFonts w:hint="default" w:hAnsi="黑体" w:cs="Arial"/>
          <w:color w:val="000000"/>
          <w:szCs w:val="32"/>
        </w:rPr>
        <w:t>可</w:t>
      </w:r>
      <w:r>
        <w:rPr>
          <w:rFonts w:hint="eastAsia" w:hAnsi="黑体" w:cs="Arial"/>
          <w:color w:val="000000"/>
          <w:szCs w:val="32"/>
        </w:rPr>
        <w:t>获取企业经营状态等信息的，</w:t>
      </w:r>
      <w:r>
        <w:rPr>
          <w:rFonts w:hint="default" w:hAnsi="黑体" w:cs="Arial"/>
          <w:color w:val="000000"/>
          <w:szCs w:val="32"/>
        </w:rPr>
        <w:t>应</w:t>
      </w:r>
      <w:r>
        <w:rPr>
          <w:rFonts w:hint="eastAsia" w:hAnsi="黑体" w:cs="Arial"/>
          <w:color w:val="000000"/>
          <w:szCs w:val="32"/>
        </w:rPr>
        <w:t>在系统中进行标识，实现零材料、自动秒批办理；对于无共享信息的，在企业提交相关材料后，社保经办机构原则上应在1个工作日内完成审核。</w:t>
      </w:r>
    </w:p>
    <w:p>
      <w:pPr>
        <w:keepNext w:val="0"/>
        <w:keepLines w:val="0"/>
        <w:pageBreakBefore w:val="0"/>
        <w:widowControl w:val="0"/>
        <w:kinsoku/>
        <w:wordWrap/>
        <w:overflowPunct/>
        <w:topLinePunct w:val="0"/>
        <w:autoSpaceDN/>
        <w:bidi w:val="0"/>
        <w:adjustRightInd/>
        <w:snapToGrid/>
        <w:spacing w:line="580" w:lineRule="exact"/>
        <w:ind w:left="0" w:leftChars="0" w:right="0" w:rightChars="0" w:firstLine="630"/>
        <w:textAlignment w:val="auto"/>
        <w:outlineLvl w:val="9"/>
        <w:rPr>
          <w:rFonts w:hAnsi="黑体" w:cs="Arial"/>
          <w:color w:val="000000"/>
          <w:szCs w:val="32"/>
        </w:rPr>
      </w:pPr>
      <w:r>
        <w:rPr>
          <w:rFonts w:hint="eastAsia" w:hAnsi="黑体" w:cs="Arial"/>
          <w:color w:val="000000"/>
          <w:szCs w:val="32"/>
        </w:rPr>
        <w:t>各市要切实提高认识，加强组织领导，强化部门间协作配合，确保阶段性缓缴社会保险费政策落实落细；要进一步加大政策宣传解读力度，确保符合政策范围的企业“应知尽知”，提升政策宣传效果；要加强政策落实工作衔接，完善信息系统，优化经办服务，确保缓缴期间企业和职工各项权益不受影响。</w:t>
      </w:r>
    </w:p>
    <w:p>
      <w:pPr>
        <w:keepNext w:val="0"/>
        <w:keepLines w:val="0"/>
        <w:pageBreakBefore w:val="0"/>
        <w:widowControl w:val="0"/>
        <w:kinsoku/>
        <w:wordWrap/>
        <w:overflowPunct/>
        <w:topLinePunct w:val="0"/>
        <w:autoSpaceDN/>
        <w:bidi w:val="0"/>
        <w:adjustRightInd/>
        <w:snapToGrid/>
        <w:spacing w:line="580" w:lineRule="exact"/>
        <w:ind w:left="0" w:leftChars="0" w:right="0" w:rightChars="0"/>
        <w:textAlignment w:val="auto"/>
        <w:outlineLvl w:val="9"/>
        <w:rPr>
          <w:rFonts w:hAnsi="黑体" w:cs="Arial"/>
          <w:color w:val="000000"/>
          <w:szCs w:val="32"/>
        </w:rPr>
      </w:pPr>
    </w:p>
    <w:p>
      <w:pPr>
        <w:spacing w:line="600" w:lineRule="exact"/>
        <w:ind w:firstLine="636"/>
        <w:rPr>
          <w:rFonts w:hAnsi="黑体" w:cs="Arial"/>
          <w:color w:val="000000"/>
          <w:szCs w:val="32"/>
        </w:rPr>
      </w:pPr>
    </w:p>
    <w:p>
      <w:pPr>
        <w:spacing w:line="580" w:lineRule="exact"/>
        <w:rPr>
          <w:color w:val="000000"/>
        </w:rPr>
      </w:pPr>
    </w:p>
    <w:tbl>
      <w:tblPr>
        <w:tblStyle w:val="8"/>
        <w:tblW w:w="9060" w:type="dxa"/>
        <w:tblInd w:w="0" w:type="dxa"/>
        <w:tblLayout w:type="fixed"/>
        <w:tblCellMar>
          <w:top w:w="0" w:type="dxa"/>
          <w:left w:w="108" w:type="dxa"/>
          <w:bottom w:w="0" w:type="dxa"/>
          <w:right w:w="108" w:type="dxa"/>
        </w:tblCellMar>
      </w:tblPr>
      <w:tblGrid>
        <w:gridCol w:w="3020"/>
        <w:gridCol w:w="3020"/>
        <w:gridCol w:w="3020"/>
      </w:tblGrid>
      <w:tr>
        <w:tblPrEx>
          <w:tblCellMar>
            <w:top w:w="0" w:type="dxa"/>
            <w:left w:w="108" w:type="dxa"/>
            <w:bottom w:w="0" w:type="dxa"/>
            <w:right w:w="108" w:type="dxa"/>
          </w:tblCellMar>
        </w:tblPrEx>
        <w:tc>
          <w:tcPr>
            <w:tcW w:w="3020" w:type="dxa"/>
            <w:vAlign w:val="center"/>
          </w:tcPr>
          <w:p>
            <w:pPr>
              <w:tabs>
                <w:tab w:val="center" w:pos="4153"/>
                <w:tab w:val="right" w:pos="8306"/>
              </w:tabs>
              <w:snapToGrid w:val="0"/>
              <w:jc w:val="center"/>
              <w:rPr>
                <w:color w:val="000000"/>
              </w:rPr>
            </w:pPr>
            <w:r>
              <w:rPr>
                <w:rFonts w:hint="eastAsia"/>
                <w:color w:val="000000"/>
              </w:rPr>
              <w:t>山东省人力资源和社会保障厅</w:t>
            </w:r>
          </w:p>
        </w:tc>
        <w:tc>
          <w:tcPr>
            <w:tcW w:w="3020" w:type="dxa"/>
            <w:vAlign w:val="center"/>
          </w:tcPr>
          <w:p>
            <w:pPr>
              <w:tabs>
                <w:tab w:val="center" w:pos="4153"/>
                <w:tab w:val="right" w:pos="8306"/>
              </w:tabs>
              <w:snapToGrid w:val="0"/>
              <w:jc w:val="center"/>
              <w:rPr>
                <w:rFonts w:hint="eastAsia"/>
                <w:color w:val="000000"/>
              </w:rPr>
            </w:pPr>
            <w:r>
              <w:rPr>
                <w:rFonts w:hint="eastAsia"/>
                <w:color w:val="000000"/>
              </w:rPr>
              <w:t>山东省发展和</w:t>
            </w:r>
          </w:p>
          <w:p>
            <w:pPr>
              <w:tabs>
                <w:tab w:val="center" w:pos="4153"/>
                <w:tab w:val="right" w:pos="8306"/>
              </w:tabs>
              <w:snapToGrid w:val="0"/>
              <w:jc w:val="center"/>
              <w:rPr>
                <w:color w:val="000000"/>
              </w:rPr>
            </w:pPr>
            <w:r>
              <w:rPr>
                <w:rFonts w:hint="eastAsia"/>
                <w:color w:val="000000"/>
              </w:rPr>
              <w:t>改革委员会</w:t>
            </w:r>
          </w:p>
        </w:tc>
        <w:tc>
          <w:tcPr>
            <w:tcW w:w="3020" w:type="dxa"/>
            <w:vAlign w:val="center"/>
          </w:tcPr>
          <w:p>
            <w:pPr>
              <w:tabs>
                <w:tab w:val="center" w:pos="4153"/>
                <w:tab w:val="right" w:pos="8306"/>
              </w:tabs>
              <w:snapToGrid w:val="0"/>
              <w:jc w:val="center"/>
              <w:rPr>
                <w:color w:val="000000"/>
              </w:rPr>
            </w:pPr>
            <w:r>
              <w:rPr>
                <w:rFonts w:hint="eastAsia"/>
                <w:color w:val="000000"/>
              </w:rPr>
              <w:t>山东省财政厅</w:t>
            </w:r>
          </w:p>
        </w:tc>
      </w:tr>
    </w:tbl>
    <w:p>
      <w:pPr>
        <w:rPr>
          <w:color w:val="000000"/>
        </w:rPr>
      </w:pPr>
    </w:p>
    <w:p>
      <w:pPr>
        <w:pStyle w:val="2"/>
        <w:rPr>
          <w:color w:val="000000"/>
        </w:rPr>
      </w:pPr>
    </w:p>
    <w:p/>
    <w:tbl>
      <w:tblPr>
        <w:tblStyle w:val="8"/>
        <w:tblW w:w="9060" w:type="dxa"/>
        <w:tblInd w:w="0" w:type="dxa"/>
        <w:tblLayout w:type="fixed"/>
        <w:tblCellMar>
          <w:top w:w="0" w:type="dxa"/>
          <w:left w:w="108" w:type="dxa"/>
          <w:bottom w:w="0" w:type="dxa"/>
          <w:right w:w="108" w:type="dxa"/>
        </w:tblCellMar>
      </w:tblPr>
      <w:tblGrid>
        <w:gridCol w:w="4530"/>
        <w:gridCol w:w="4530"/>
      </w:tblGrid>
      <w:tr>
        <w:tblPrEx>
          <w:tblCellMar>
            <w:top w:w="0" w:type="dxa"/>
            <w:left w:w="108" w:type="dxa"/>
            <w:bottom w:w="0" w:type="dxa"/>
            <w:right w:w="108" w:type="dxa"/>
          </w:tblCellMar>
        </w:tblPrEx>
        <w:tc>
          <w:tcPr>
            <w:tcW w:w="4530" w:type="dxa"/>
            <w:vAlign w:val="center"/>
          </w:tcPr>
          <w:p>
            <w:pPr>
              <w:tabs>
                <w:tab w:val="center" w:pos="4153"/>
                <w:tab w:val="right" w:pos="8306"/>
              </w:tabs>
              <w:snapToGrid w:val="0"/>
              <w:jc w:val="center"/>
              <w:rPr>
                <w:rFonts w:hint="eastAsia"/>
                <w:color w:val="000000"/>
              </w:rPr>
            </w:pPr>
            <w:r>
              <w:rPr>
                <w:rFonts w:hint="eastAsia"/>
                <w:color w:val="000000"/>
              </w:rPr>
              <w:t>国家税务总局山东省税务局</w:t>
            </w:r>
          </w:p>
        </w:tc>
        <w:tc>
          <w:tcPr>
            <w:tcW w:w="4530" w:type="dxa"/>
            <w:vAlign w:val="center"/>
          </w:tcPr>
          <w:p>
            <w:pPr>
              <w:tabs>
                <w:tab w:val="center" w:pos="4153"/>
                <w:tab w:val="right" w:pos="8306"/>
              </w:tabs>
              <w:snapToGrid w:val="0"/>
              <w:jc w:val="center"/>
              <w:rPr>
                <w:rFonts w:hint="eastAsia"/>
                <w:color w:val="000000"/>
              </w:rPr>
            </w:pPr>
            <w:r>
              <w:rPr>
                <w:rFonts w:hint="eastAsia"/>
                <w:color w:val="000000"/>
              </w:rPr>
              <w:t>国家税务总局青岛市税务局</w:t>
            </w:r>
          </w:p>
        </w:tc>
      </w:tr>
    </w:tbl>
    <w:p>
      <w:pPr>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2022年</w:t>
      </w:r>
      <w:r>
        <w:rPr>
          <w:rFonts w:hint="eastAsia"/>
          <w:color w:val="000000"/>
          <w:lang w:val="en-US" w:eastAsia="zh-CN"/>
        </w:rPr>
        <w:t>10</w:t>
      </w:r>
      <w:r>
        <w:rPr>
          <w:rFonts w:hint="eastAsia"/>
          <w:color w:val="000000"/>
        </w:rPr>
        <w:t>月</w:t>
      </w:r>
      <w:r>
        <w:rPr>
          <w:rFonts w:hint="eastAsia"/>
          <w:color w:val="000000"/>
          <w:lang w:val="en-US" w:eastAsia="zh-CN"/>
        </w:rPr>
        <w:t>8</w:t>
      </w:r>
      <w:r>
        <w:rPr>
          <w:rFonts w:hint="eastAsia"/>
          <w:color w:val="000000"/>
        </w:rPr>
        <w:t>日</w:t>
      </w:r>
    </w:p>
    <w:p>
      <w:pPr>
        <w:ind w:firstLine="632" w:firstLineChars="200"/>
        <w:rPr>
          <w:color w:val="000000"/>
        </w:rPr>
      </w:pPr>
    </w:p>
    <w:p>
      <w:pPr>
        <w:ind w:firstLine="632" w:firstLineChars="200"/>
        <w:rPr>
          <w:rFonts w:hint="eastAsia"/>
          <w:color w:val="000000"/>
        </w:rPr>
      </w:pPr>
      <w:r>
        <w:rPr>
          <w:rFonts w:hint="eastAsia"/>
          <w:color w:val="000000"/>
        </w:rPr>
        <w:t>（此件主动公开）</w:t>
      </w:r>
    </w:p>
    <w:p>
      <w:pPr>
        <w:ind w:firstLine="632" w:firstLineChars="200"/>
        <w:rPr>
          <w:rFonts w:hint="eastAsia"/>
          <w:color w:val="000000"/>
        </w:rPr>
      </w:pPr>
      <w:r>
        <w:rPr>
          <w:rFonts w:hint="eastAsia"/>
          <w:color w:val="000000"/>
        </w:rPr>
        <w:t>（联系单位：省人力资源社会保障厅养老保险处）</w:t>
      </w:r>
    </w:p>
    <w:p>
      <w:pPr>
        <w:pStyle w:val="2"/>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ascii="方正小标宋简体" w:eastAsia="方正小标宋简体"/>
          <w:sz w:val="44"/>
          <w:szCs w:val="44"/>
        </w:rPr>
      </w:pPr>
      <w:bookmarkStart w:id="0" w:name="_GoBack"/>
      <w:bookmarkEnd w:id="0"/>
    </w:p>
    <w:sectPr>
      <w:footerReference r:id="rId3" w:type="default"/>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58"/>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VkZTEwMjZjOWE3MjM2NjgwMzY1MTEyNmQ4YjljMDcifQ=="/>
  </w:docVars>
  <w:rsids>
    <w:rsidRoot w:val="005E5D55"/>
    <w:rsid w:val="00006B5C"/>
    <w:rsid w:val="00034004"/>
    <w:rsid w:val="00053055"/>
    <w:rsid w:val="0005355C"/>
    <w:rsid w:val="00055CDF"/>
    <w:rsid w:val="000635CC"/>
    <w:rsid w:val="000756D3"/>
    <w:rsid w:val="000969C4"/>
    <w:rsid w:val="000C0092"/>
    <w:rsid w:val="000C559A"/>
    <w:rsid w:val="000E0871"/>
    <w:rsid w:val="000E0B99"/>
    <w:rsid w:val="000E12B1"/>
    <w:rsid w:val="000F4481"/>
    <w:rsid w:val="00106C4B"/>
    <w:rsid w:val="00114A11"/>
    <w:rsid w:val="00117B12"/>
    <w:rsid w:val="001552B3"/>
    <w:rsid w:val="001A0650"/>
    <w:rsid w:val="001A1700"/>
    <w:rsid w:val="001E147C"/>
    <w:rsid w:val="001E2131"/>
    <w:rsid w:val="001E44F2"/>
    <w:rsid w:val="001F2713"/>
    <w:rsid w:val="00234CBF"/>
    <w:rsid w:val="00254917"/>
    <w:rsid w:val="002851C2"/>
    <w:rsid w:val="00285939"/>
    <w:rsid w:val="002921F9"/>
    <w:rsid w:val="002A2A68"/>
    <w:rsid w:val="002A2EF9"/>
    <w:rsid w:val="002B6DC0"/>
    <w:rsid w:val="003510EF"/>
    <w:rsid w:val="00366A70"/>
    <w:rsid w:val="00366FFC"/>
    <w:rsid w:val="003801A4"/>
    <w:rsid w:val="003B3147"/>
    <w:rsid w:val="003C47F1"/>
    <w:rsid w:val="003C4C42"/>
    <w:rsid w:val="003F1108"/>
    <w:rsid w:val="003F7A05"/>
    <w:rsid w:val="004000F5"/>
    <w:rsid w:val="00424269"/>
    <w:rsid w:val="004C65A1"/>
    <w:rsid w:val="004F6185"/>
    <w:rsid w:val="005433B6"/>
    <w:rsid w:val="005464E9"/>
    <w:rsid w:val="005500F2"/>
    <w:rsid w:val="0055055C"/>
    <w:rsid w:val="00556634"/>
    <w:rsid w:val="005658F3"/>
    <w:rsid w:val="00582496"/>
    <w:rsid w:val="005902BE"/>
    <w:rsid w:val="0059273C"/>
    <w:rsid w:val="005B4688"/>
    <w:rsid w:val="005E2E74"/>
    <w:rsid w:val="005E5D55"/>
    <w:rsid w:val="005F49BF"/>
    <w:rsid w:val="00602580"/>
    <w:rsid w:val="00657AA7"/>
    <w:rsid w:val="00671BDB"/>
    <w:rsid w:val="00681CDE"/>
    <w:rsid w:val="00696462"/>
    <w:rsid w:val="006B527B"/>
    <w:rsid w:val="006C050D"/>
    <w:rsid w:val="00754105"/>
    <w:rsid w:val="00764827"/>
    <w:rsid w:val="00781607"/>
    <w:rsid w:val="00797C96"/>
    <w:rsid w:val="007A5412"/>
    <w:rsid w:val="007B0BF9"/>
    <w:rsid w:val="007D33BD"/>
    <w:rsid w:val="007E2E0C"/>
    <w:rsid w:val="007E5318"/>
    <w:rsid w:val="00810FB9"/>
    <w:rsid w:val="0085769D"/>
    <w:rsid w:val="008644FD"/>
    <w:rsid w:val="008A53EB"/>
    <w:rsid w:val="008B0C2D"/>
    <w:rsid w:val="008B2CDC"/>
    <w:rsid w:val="008D40DA"/>
    <w:rsid w:val="008F16FA"/>
    <w:rsid w:val="009371A0"/>
    <w:rsid w:val="00952BAF"/>
    <w:rsid w:val="0099685D"/>
    <w:rsid w:val="009B34D9"/>
    <w:rsid w:val="009C2EA8"/>
    <w:rsid w:val="009D1E70"/>
    <w:rsid w:val="009D3B09"/>
    <w:rsid w:val="009E55B0"/>
    <w:rsid w:val="00A54E6F"/>
    <w:rsid w:val="00A6701E"/>
    <w:rsid w:val="00A726D0"/>
    <w:rsid w:val="00A740CF"/>
    <w:rsid w:val="00A83E4B"/>
    <w:rsid w:val="00A84F78"/>
    <w:rsid w:val="00A86152"/>
    <w:rsid w:val="00AC0BE7"/>
    <w:rsid w:val="00AC1870"/>
    <w:rsid w:val="00AF7CDA"/>
    <w:rsid w:val="00B4095E"/>
    <w:rsid w:val="00B52429"/>
    <w:rsid w:val="00B81F3A"/>
    <w:rsid w:val="00B90540"/>
    <w:rsid w:val="00BA2DAD"/>
    <w:rsid w:val="00BB1E88"/>
    <w:rsid w:val="00BB4DD3"/>
    <w:rsid w:val="00BD5A72"/>
    <w:rsid w:val="00BD7925"/>
    <w:rsid w:val="00BF4BB2"/>
    <w:rsid w:val="00C72629"/>
    <w:rsid w:val="00C73150"/>
    <w:rsid w:val="00C74B40"/>
    <w:rsid w:val="00C810BD"/>
    <w:rsid w:val="00C83C21"/>
    <w:rsid w:val="00C9745D"/>
    <w:rsid w:val="00CD75DC"/>
    <w:rsid w:val="00CE0926"/>
    <w:rsid w:val="00CF434B"/>
    <w:rsid w:val="00CF7499"/>
    <w:rsid w:val="00D27985"/>
    <w:rsid w:val="00D35DEB"/>
    <w:rsid w:val="00D37124"/>
    <w:rsid w:val="00D441B4"/>
    <w:rsid w:val="00D56387"/>
    <w:rsid w:val="00D96D19"/>
    <w:rsid w:val="00DD6BF2"/>
    <w:rsid w:val="00DF1789"/>
    <w:rsid w:val="00E0437F"/>
    <w:rsid w:val="00E10FBB"/>
    <w:rsid w:val="00E230A9"/>
    <w:rsid w:val="00E514AF"/>
    <w:rsid w:val="00E82312"/>
    <w:rsid w:val="00E82653"/>
    <w:rsid w:val="00E844D1"/>
    <w:rsid w:val="00E91810"/>
    <w:rsid w:val="00EA5D51"/>
    <w:rsid w:val="00EB37B4"/>
    <w:rsid w:val="00EC308C"/>
    <w:rsid w:val="00EC5091"/>
    <w:rsid w:val="00F10ACA"/>
    <w:rsid w:val="00F20780"/>
    <w:rsid w:val="00F371E7"/>
    <w:rsid w:val="00F53C54"/>
    <w:rsid w:val="00F722F4"/>
    <w:rsid w:val="00FF6EBF"/>
    <w:rsid w:val="093D0D17"/>
    <w:rsid w:val="1E281943"/>
    <w:rsid w:val="1FDDC102"/>
    <w:rsid w:val="26ED33A5"/>
    <w:rsid w:val="3466692F"/>
    <w:rsid w:val="381C655C"/>
    <w:rsid w:val="3F396FBC"/>
    <w:rsid w:val="3FBFFF3B"/>
    <w:rsid w:val="469D5077"/>
    <w:rsid w:val="4C204DA2"/>
    <w:rsid w:val="4FDB274D"/>
    <w:rsid w:val="595D7D05"/>
    <w:rsid w:val="59F627BC"/>
    <w:rsid w:val="5A191D4D"/>
    <w:rsid w:val="75FB6628"/>
    <w:rsid w:val="769C760C"/>
    <w:rsid w:val="779DFEEC"/>
    <w:rsid w:val="796535F2"/>
    <w:rsid w:val="7AB70892"/>
    <w:rsid w:val="CDEBC511"/>
    <w:rsid w:val="EB9A97FC"/>
    <w:rsid w:val="EFFD882D"/>
    <w:rsid w:val="FFBE4ED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eastAsia="仿宋_GB2312" w:hAnsiTheme="minorHAnsi" w:cstheme="minorBidi"/>
      <w:kern w:val="2"/>
      <w:sz w:val="32"/>
      <w:szCs w:val="22"/>
      <w:lang w:val="en-US" w:eastAsia="zh-CN" w:bidi="ar-SA"/>
    </w:rPr>
  </w:style>
  <w:style w:type="paragraph" w:styleId="5">
    <w:name w:val="heading 2"/>
    <w:basedOn w:val="1"/>
    <w:next w:val="1"/>
    <w:link w:val="12"/>
    <w:unhideWhenUsed/>
    <w:qFormat/>
    <w:uiPriority w:val="0"/>
    <w:pPr>
      <w:keepNext/>
      <w:keepLines/>
      <w:spacing w:line="413" w:lineRule="auto"/>
      <w:outlineLvl w:val="1"/>
    </w:pPr>
    <w:rPr>
      <w:rFonts w:ascii="Arial" w:hAnsi="Arial" w:eastAsia="黑体"/>
      <w:b/>
      <w:szCs w:val="24"/>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link w:val="15"/>
    <w:qFormat/>
    <w:uiPriority w:val="0"/>
    <w:pPr>
      <w:ind w:firstLine="420" w:firstLineChars="200"/>
    </w:pPr>
    <w:rPr>
      <w:rFonts w:ascii="Times New Roman" w:hAnsi="Times New Roman" w:eastAsia="宋体" w:cs="Times New Roman"/>
      <w:szCs w:val="32"/>
    </w:rPr>
  </w:style>
  <w:style w:type="paragraph" w:styleId="3">
    <w:name w:val="Body Text Indent"/>
    <w:basedOn w:val="1"/>
    <w:link w:val="14"/>
    <w:unhideWhenUsed/>
    <w:qFormat/>
    <w:uiPriority w:val="99"/>
    <w:pPr>
      <w:spacing w:after="120"/>
      <w:ind w:left="420" w:leftChars="200"/>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标题 2 Char"/>
    <w:basedOn w:val="9"/>
    <w:link w:val="5"/>
    <w:qFormat/>
    <w:uiPriority w:val="0"/>
    <w:rPr>
      <w:rFonts w:ascii="Arial" w:hAnsi="Arial" w:eastAsia="黑体"/>
      <w:b/>
      <w:sz w:val="32"/>
      <w:szCs w:val="24"/>
    </w:rPr>
  </w:style>
  <w:style w:type="paragraph" w:customStyle="1" w:styleId="13">
    <w:name w:val="List Paragraph"/>
    <w:basedOn w:val="1"/>
    <w:qFormat/>
    <w:uiPriority w:val="34"/>
    <w:pPr>
      <w:ind w:firstLine="420" w:firstLineChars="200"/>
    </w:pPr>
  </w:style>
  <w:style w:type="character" w:customStyle="1" w:styleId="14">
    <w:name w:val="正文文本缩进 Char"/>
    <w:basedOn w:val="9"/>
    <w:link w:val="3"/>
    <w:semiHidden/>
    <w:qFormat/>
    <w:uiPriority w:val="99"/>
    <w:rPr>
      <w:rFonts w:ascii="仿宋_GB2312" w:eastAsia="仿宋_GB2312"/>
      <w:sz w:val="32"/>
    </w:rPr>
  </w:style>
  <w:style w:type="character" w:customStyle="1" w:styleId="15">
    <w:name w:val="正文首行缩进 2 Char"/>
    <w:basedOn w:val="14"/>
    <w:link w:val="2"/>
    <w:qFormat/>
    <w:uiPriority w:val="0"/>
    <w:rPr>
      <w:rFonts w:ascii="Times New Roman" w:hAnsi="Times New Roman" w:eastAsia="宋体" w:cs="Times New Roman"/>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4</Pages>
  <Words>1037</Words>
  <Characters>1065</Characters>
  <Lines>15</Lines>
  <Paragraphs>4</Paragraphs>
  <TotalTime>0</TotalTime>
  <ScaleCrop>false</ScaleCrop>
  <LinksUpToDate>false</LinksUpToDate>
  <CharactersWithSpaces>1121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2022-09-28T18:19:00Z</dcterms:created>
  <dc:creator>user</dc:creator>
  <cp:lastModifiedBy>看淡了</cp:lastModifiedBy>
  <cp:lastPrinted>2022-10-08T07:45:00Z</cp:lastPrinted>
  <dcterms:modified xsi:type="dcterms:W3CDTF">2022-10-10T00:56:29Z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31A3BD72F65D4BB8931016CFFCDCC31E</vt:lpwstr>
  </property>
</Properties>
</file>