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宋体" w:hAnsi="宋体" w:cs="宋体"/>
          <w:kern w:val="0"/>
          <w:szCs w:val="32"/>
        </w:rPr>
      </w:pPr>
      <w:r>
        <w:rPr>
          <w:rFonts w:hint="eastAsia" w:ascii="宋体" w:hAnsi="宋体" w:cs="宋体"/>
          <w:kern w:val="0"/>
          <w:szCs w:val="32"/>
          <w:lang w:bidi="ar"/>
        </w:rPr>
        <w:t xml:space="preserve"> </w:t>
      </w:r>
    </w:p>
    <w:p>
      <w:pPr>
        <w:spacing w:line="580" w:lineRule="exact"/>
        <w:jc w:val="center"/>
        <w:rPr>
          <w:rFonts w:hint="eastAsia" w:ascii="仿宋_GB2312" w:hAnsi="宋体" w:eastAsia="仿宋_GB2312" w:cs="宋体"/>
          <w:kern w:val="0"/>
          <w:szCs w:val="32"/>
        </w:rPr>
      </w:pPr>
      <w:r>
        <w:rPr>
          <w:rFonts w:hint="eastAsia" w:ascii="仿宋_GB2312" w:hAnsi="宋体" w:eastAsia="仿宋_GB2312" w:cs="仿宋_GB2312"/>
          <w:kern w:val="0"/>
          <w:szCs w:val="32"/>
          <w:lang w:bidi="ar"/>
        </w:rPr>
        <w:t>鲁人社字〔</w:t>
      </w:r>
      <w:r>
        <w:rPr>
          <w:rFonts w:hint="eastAsia" w:ascii="仿宋_GB2312" w:hAnsi="宋体" w:eastAsia="仿宋_GB2312" w:cs="宋体"/>
          <w:kern w:val="0"/>
          <w:szCs w:val="32"/>
          <w:lang w:bidi="ar"/>
        </w:rPr>
        <w:t>2022〕</w:t>
      </w:r>
      <w:r>
        <w:rPr>
          <w:rFonts w:hint="eastAsia" w:ascii="仿宋_GB2312" w:hAnsi="宋体" w:eastAsia="仿宋_GB2312" w:cs="宋体"/>
          <w:kern w:val="0"/>
          <w:szCs w:val="32"/>
          <w:lang w:val="en-US" w:eastAsia="zh-CN" w:bidi="ar"/>
        </w:rPr>
        <w:t>92</w:t>
      </w:r>
      <w:r>
        <w:rPr>
          <w:rFonts w:hint="eastAsia" w:ascii="仿宋_GB2312" w:hAnsi="宋体" w:eastAsia="仿宋_GB2312" w:cs="宋体"/>
          <w:kern w:val="0"/>
          <w:szCs w:val="32"/>
          <w:lang w:bidi="ar"/>
        </w:rPr>
        <w:t>号</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rPr>
          <w:rFonts w:hint="eastAsia" w:ascii="仿宋_GB2312" w:hAnsi="仿宋_GB2312" w:eastAsia="仿宋_GB2312" w:cs="仿宋_GB2312"/>
          <w:color w:val="000000"/>
          <w:szCs w:val="32"/>
        </w:rPr>
      </w:pPr>
    </w:p>
    <w:p>
      <w:pPr>
        <w:pStyle w:val="4"/>
        <w:keepNext w:val="0"/>
        <w:keepLines w:val="0"/>
        <w:pageBreakBefore w:val="0"/>
        <w:widowControl w:val="0"/>
        <w:kinsoku/>
        <w:wordWrap/>
        <w:overflowPunct/>
        <w:topLinePunct w:val="0"/>
        <w:bidi w:val="0"/>
        <w:adjustRightInd/>
        <w:snapToGrid/>
        <w:spacing w:line="580" w:lineRule="exact"/>
        <w:ind w:left="0" w:leftChars="0" w:right="0" w:rightChars="0"/>
        <w:jc w:val="both"/>
        <w:textAlignment w:val="auto"/>
        <w:rPr>
          <w:rFonts w:hint="default"/>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rightChars="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山东省人力资源和社会保障厅</w:t>
      </w:r>
      <w:r>
        <w:rPr>
          <w:rFonts w:hint="default" w:ascii="方正小标宋简体" w:hAnsi="方正小标宋简体" w:eastAsia="方正小标宋简体" w:cs="方正小标宋简体"/>
          <w:color w:val="000000"/>
          <w:spacing w:val="0"/>
          <w:w w:val="100"/>
          <w:position w:val="0"/>
          <w:sz w:val="44"/>
          <w:szCs w:val="44"/>
          <w:lang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山东省教育厅山东省财政厅关于做好一次性扩岗补助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rightChars="0"/>
        <w:jc w:val="center"/>
        <w:textAlignment w:val="auto"/>
        <w:rPr>
          <w:rFonts w:hint="default" w:ascii="Times New Roman" w:hAnsi="Times New Roman" w:eastAsia="方正小标宋_GBK" w:cs="Times New Roman"/>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政策落实工作的通知</w:t>
      </w:r>
    </w:p>
    <w:p>
      <w:pPr>
        <w:pStyle w:val="11"/>
        <w:keepNext w:val="0"/>
        <w:keepLines w:val="0"/>
        <w:pageBreakBefore w:val="0"/>
        <w:widowControl w:val="0"/>
        <w:shd w:val="clear" w:color="auto" w:fill="auto"/>
        <w:tabs>
          <w:tab w:val="left" w:pos="1178"/>
        </w:tabs>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rPr>
          <w:rFonts w:hint="default" w:ascii="Times New Roman" w:hAnsi="Times New Roman" w:eastAsia="仿宋" w:cs="Times New Roman"/>
          <w:color w:val="000000"/>
          <w:spacing w:val="0"/>
          <w:w w:val="100"/>
          <w:position w:val="0"/>
          <w:sz w:val="32"/>
          <w:szCs w:val="32"/>
        </w:rPr>
      </w:pPr>
    </w:p>
    <w:p>
      <w:pPr>
        <w:pStyle w:val="11"/>
        <w:keepNext w:val="0"/>
        <w:keepLines w:val="0"/>
        <w:pageBreakBefore w:val="0"/>
        <w:widowControl w:val="0"/>
        <w:shd w:val="clear" w:color="auto" w:fill="auto"/>
        <w:tabs>
          <w:tab w:val="left" w:pos="1178"/>
        </w:tabs>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人力资源社会保障</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、教育局</w:t>
      </w:r>
      <w:r>
        <w:rPr>
          <w:rFonts w:hint="eastAsia" w:ascii="仿宋_GB2312" w:hAnsi="仿宋_GB2312" w:eastAsia="仿宋_GB2312" w:cs="仿宋_GB2312"/>
          <w:color w:val="000000"/>
          <w:spacing w:val="0"/>
          <w:w w:val="100"/>
          <w:position w:val="0"/>
          <w:sz w:val="32"/>
          <w:szCs w:val="32"/>
          <w:lang w:eastAsia="zh-CN"/>
        </w:rPr>
        <w:t>、财政局，省社会保险事业中心</w:t>
      </w:r>
      <w:r>
        <w:rPr>
          <w:rFonts w:hint="eastAsia" w:ascii="仿宋_GB2312" w:hAnsi="仿宋_GB2312" w:eastAsia="仿宋_GB2312" w:cs="仿宋_GB2312"/>
          <w:color w:val="000000"/>
          <w:spacing w:val="0"/>
          <w:w w:val="100"/>
          <w:position w:val="0"/>
          <w:sz w:val="32"/>
          <w:szCs w:val="32"/>
        </w:rPr>
        <w:t>：</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为</w:t>
      </w:r>
      <w:r>
        <w:rPr>
          <w:rFonts w:hint="eastAsia" w:ascii="仿宋_GB2312" w:hAnsi="仿宋_GB2312" w:eastAsia="仿宋_GB2312" w:cs="仿宋_GB2312"/>
          <w:color w:val="000000"/>
          <w:spacing w:val="0"/>
          <w:w w:val="100"/>
          <w:position w:val="0"/>
          <w:sz w:val="32"/>
          <w:szCs w:val="32"/>
          <w:lang w:eastAsia="zh-CN"/>
        </w:rPr>
        <w:t>进一步</w:t>
      </w:r>
      <w:r>
        <w:rPr>
          <w:rFonts w:hint="eastAsia" w:ascii="仿宋_GB2312" w:hAnsi="仿宋_GB2312" w:eastAsia="仿宋_GB2312" w:cs="仿宋_GB2312"/>
          <w:color w:val="000000"/>
          <w:spacing w:val="0"/>
          <w:w w:val="100"/>
          <w:position w:val="0"/>
          <w:sz w:val="32"/>
          <w:szCs w:val="32"/>
        </w:rPr>
        <w:t>发挥失业保险助企扩岗作用，</w:t>
      </w:r>
      <w:r>
        <w:rPr>
          <w:rFonts w:hint="eastAsia" w:ascii="仿宋_GB2312" w:hAnsi="仿宋_GB2312" w:eastAsia="仿宋_GB2312" w:cs="仿宋_GB2312"/>
          <w:color w:val="000000"/>
          <w:spacing w:val="0"/>
          <w:w w:val="100"/>
          <w:position w:val="0"/>
          <w:sz w:val="32"/>
          <w:szCs w:val="32"/>
          <w:lang w:eastAsia="zh-CN"/>
        </w:rPr>
        <w:t>根据《人力资源社会保障部办公厅教育部办公厅财政部办公厅关于加快落实一次性扩岗补助政策有关工作的通知》（人社厅发〔</w:t>
      </w:r>
      <w:r>
        <w:rPr>
          <w:rFonts w:hint="eastAsia" w:ascii="仿宋_GB2312" w:hAnsi="仿宋_GB2312" w:eastAsia="仿宋_GB2312" w:cs="仿宋_GB2312"/>
          <w:color w:val="000000"/>
          <w:spacing w:val="0"/>
          <w:w w:val="100"/>
          <w:position w:val="0"/>
          <w:sz w:val="32"/>
          <w:szCs w:val="32"/>
          <w:lang w:val="en-US" w:eastAsia="zh-CN"/>
        </w:rPr>
        <w:t>2022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41号</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现就</w:t>
      </w:r>
      <w:r>
        <w:rPr>
          <w:rFonts w:hint="eastAsia" w:ascii="仿宋_GB2312" w:hAnsi="仿宋_GB2312" w:eastAsia="仿宋_GB2312" w:cs="仿宋_GB2312"/>
          <w:color w:val="000000"/>
          <w:spacing w:val="0"/>
          <w:w w:val="100"/>
          <w:position w:val="0"/>
          <w:sz w:val="32"/>
          <w:szCs w:val="32"/>
          <w:lang w:eastAsia="zh-CN"/>
        </w:rPr>
        <w:t>做好</w:t>
      </w:r>
      <w:r>
        <w:rPr>
          <w:rFonts w:hint="eastAsia" w:ascii="仿宋_GB2312" w:hAnsi="仿宋_GB2312" w:eastAsia="仿宋_GB2312" w:cs="仿宋_GB2312"/>
          <w:color w:val="000000"/>
          <w:spacing w:val="0"/>
          <w:w w:val="100"/>
          <w:position w:val="0"/>
          <w:sz w:val="32"/>
          <w:szCs w:val="32"/>
        </w:rPr>
        <w:t>一次性扩岗补助政策落实</w:t>
      </w:r>
      <w:r>
        <w:rPr>
          <w:rFonts w:hint="eastAsia" w:ascii="仿宋_GB2312" w:hAnsi="仿宋_GB2312" w:eastAsia="仿宋_GB2312" w:cs="仿宋_GB2312"/>
          <w:color w:val="000000"/>
          <w:spacing w:val="0"/>
          <w:w w:val="100"/>
          <w:position w:val="0"/>
          <w:sz w:val="32"/>
          <w:szCs w:val="32"/>
          <w:lang w:eastAsia="zh-CN"/>
        </w:rPr>
        <w:t>工作</w:t>
      </w:r>
      <w:r>
        <w:rPr>
          <w:rFonts w:hint="eastAsia" w:ascii="仿宋_GB2312" w:hAnsi="仿宋_GB2312" w:eastAsia="仿宋_GB2312" w:cs="仿宋_GB2312"/>
          <w:color w:val="000000"/>
          <w:spacing w:val="0"/>
          <w:w w:val="100"/>
          <w:position w:val="0"/>
          <w:sz w:val="32"/>
          <w:szCs w:val="32"/>
        </w:rPr>
        <w:t>通知如下：</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rPr>
        <w:t>一、</w:t>
      </w:r>
      <w:r>
        <w:rPr>
          <w:rFonts w:hint="eastAsia" w:ascii="黑体" w:hAnsi="黑体" w:eastAsia="黑体" w:cs="黑体"/>
          <w:color w:val="000000"/>
          <w:spacing w:val="0"/>
          <w:w w:val="100"/>
          <w:position w:val="0"/>
          <w:sz w:val="32"/>
          <w:szCs w:val="32"/>
          <w:lang w:eastAsia="zh-CN"/>
        </w:rPr>
        <w:t>政策内容</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（一）企业</w:t>
      </w:r>
      <w:r>
        <w:rPr>
          <w:rFonts w:hint="eastAsia" w:ascii="仿宋_GB2312" w:hAnsi="仿宋_GB2312" w:eastAsia="仿宋_GB2312" w:cs="仿宋_GB2312"/>
          <w:color w:val="000000"/>
          <w:spacing w:val="0"/>
          <w:w w:val="100"/>
          <w:position w:val="0"/>
          <w:sz w:val="32"/>
          <w:szCs w:val="32"/>
          <w:lang w:val="en-US" w:eastAsia="zh-CN"/>
        </w:rPr>
        <w:t>2022年</w:t>
      </w:r>
      <w:r>
        <w:rPr>
          <w:rFonts w:hint="eastAsia" w:ascii="仿宋_GB2312" w:hAnsi="仿宋_GB2312" w:eastAsia="仿宋_GB2312" w:cs="仿宋_GB2312"/>
          <w:color w:val="000000"/>
          <w:spacing w:val="0"/>
          <w:w w:val="100"/>
          <w:position w:val="0"/>
          <w:sz w:val="32"/>
          <w:szCs w:val="32"/>
          <w:lang w:eastAsia="zh-CN"/>
        </w:rPr>
        <w:t>内</w:t>
      </w:r>
      <w:r>
        <w:rPr>
          <w:rFonts w:hint="eastAsia" w:ascii="仿宋_GB2312" w:hAnsi="仿宋_GB2312" w:eastAsia="仿宋_GB2312" w:cs="仿宋_GB2312"/>
          <w:color w:val="000000"/>
          <w:spacing w:val="0"/>
          <w:w w:val="100"/>
          <w:position w:val="0"/>
          <w:sz w:val="32"/>
          <w:szCs w:val="32"/>
        </w:rPr>
        <w:t>招用</w:t>
      </w:r>
      <w:r>
        <w:rPr>
          <w:rFonts w:hint="eastAsia" w:ascii="仿宋_GB2312" w:hAnsi="仿宋_GB2312" w:eastAsia="仿宋_GB2312" w:cs="仿宋_GB2312"/>
          <w:color w:val="000000"/>
          <w:spacing w:val="0"/>
          <w:w w:val="100"/>
          <w:position w:val="0"/>
          <w:sz w:val="32"/>
          <w:szCs w:val="32"/>
          <w:lang w:eastAsia="zh-CN"/>
        </w:rPr>
        <w:t>普通</w:t>
      </w:r>
      <w:r>
        <w:rPr>
          <w:rFonts w:hint="eastAsia" w:ascii="仿宋_GB2312" w:hAnsi="仿宋_GB2312" w:eastAsia="仿宋_GB2312" w:cs="仿宋_GB2312"/>
          <w:color w:val="000000"/>
          <w:spacing w:val="0"/>
          <w:w w:val="100"/>
          <w:position w:val="0"/>
          <w:sz w:val="32"/>
          <w:szCs w:val="32"/>
        </w:rPr>
        <w:t>高校毕业生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毕业</w:t>
      </w:r>
      <w:r>
        <w:rPr>
          <w:rFonts w:hint="eastAsia" w:ascii="仿宋_GB2312" w:hAnsi="仿宋_GB2312" w:eastAsia="仿宋_GB2312" w:cs="仿宋_GB2312"/>
          <w:color w:val="000000"/>
          <w:spacing w:val="0"/>
          <w:w w:val="100"/>
          <w:position w:val="0"/>
          <w:sz w:val="32"/>
          <w:szCs w:val="32"/>
          <w:lang w:eastAsia="zh-CN"/>
        </w:rPr>
        <w:t>时间为</w:t>
      </w:r>
      <w:r>
        <w:rPr>
          <w:rFonts w:hint="eastAsia" w:ascii="仿宋_GB2312" w:hAnsi="仿宋_GB2312" w:eastAsia="仿宋_GB2312" w:cs="仿宋_GB2312"/>
          <w:color w:val="000000"/>
          <w:spacing w:val="0"/>
          <w:w w:val="100"/>
          <w:position w:val="0"/>
          <w:sz w:val="32"/>
          <w:szCs w:val="32"/>
          <w:lang w:val="en-US" w:eastAsia="zh-CN"/>
        </w:rPr>
        <w:t>2022年1-12月且取得普通高等学校毕业证书</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，签订劳动合同并</w:t>
      </w:r>
      <w:r>
        <w:rPr>
          <w:rFonts w:hint="eastAsia" w:ascii="仿宋_GB2312" w:hAnsi="仿宋_GB2312" w:eastAsia="仿宋_GB2312" w:cs="仿宋_GB2312"/>
          <w:color w:val="000000"/>
          <w:spacing w:val="0"/>
          <w:w w:val="100"/>
          <w:position w:val="0"/>
          <w:sz w:val="32"/>
          <w:szCs w:val="32"/>
          <w:lang w:eastAsia="zh-CN"/>
        </w:rPr>
        <w:t>为其缴纳</w:t>
      </w:r>
      <w:r>
        <w:rPr>
          <w:rFonts w:hint="eastAsia" w:ascii="仿宋_GB2312" w:hAnsi="仿宋_GB2312" w:eastAsia="仿宋_GB2312" w:cs="仿宋_GB2312"/>
          <w:color w:val="000000"/>
          <w:spacing w:val="0"/>
          <w:w w:val="100"/>
          <w:position w:val="0"/>
          <w:sz w:val="32"/>
          <w:szCs w:val="32"/>
        </w:rPr>
        <w:t>失业保险</w:t>
      </w:r>
      <w:r>
        <w:rPr>
          <w:rFonts w:hint="eastAsia" w:ascii="仿宋_GB2312" w:hAnsi="仿宋_GB2312" w:eastAsia="仿宋_GB2312" w:cs="仿宋_GB2312"/>
          <w:color w:val="000000"/>
          <w:spacing w:val="0"/>
          <w:w w:val="100"/>
          <w:position w:val="0"/>
          <w:sz w:val="32"/>
          <w:szCs w:val="32"/>
          <w:lang w:eastAsia="zh-CN"/>
        </w:rPr>
        <w:t>费</w:t>
      </w:r>
      <w:r>
        <w:rPr>
          <w:rFonts w:hint="eastAsia" w:ascii="仿宋_GB2312" w:hAnsi="仿宋_GB2312" w:eastAsia="仿宋_GB2312" w:cs="仿宋_GB2312"/>
          <w:color w:val="000000"/>
          <w:spacing w:val="0"/>
          <w:w w:val="100"/>
          <w:position w:val="0"/>
          <w:sz w:val="32"/>
          <w:szCs w:val="32"/>
          <w:lang w:val="en-US" w:eastAsia="zh-CN"/>
        </w:rPr>
        <w:t>1个月以上且处于正常缴费状态</w:t>
      </w:r>
      <w:r>
        <w:rPr>
          <w:rFonts w:hint="eastAsia" w:ascii="仿宋_GB2312" w:hAnsi="仿宋_GB2312" w:eastAsia="仿宋_GB2312" w:cs="仿宋_GB2312"/>
          <w:color w:val="000000"/>
          <w:spacing w:val="0"/>
          <w:w w:val="100"/>
          <w:position w:val="0"/>
          <w:sz w:val="32"/>
          <w:szCs w:val="32"/>
          <w:lang w:eastAsia="zh-CN"/>
        </w:rPr>
        <w:t>的</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按照</w:t>
      </w:r>
      <w:r>
        <w:rPr>
          <w:rFonts w:hint="eastAsia" w:ascii="仿宋_GB2312" w:hAnsi="仿宋_GB2312" w:eastAsia="仿宋_GB2312" w:cs="仿宋_GB2312"/>
          <w:color w:val="000000"/>
          <w:spacing w:val="0"/>
          <w:w w:val="100"/>
          <w:position w:val="0"/>
          <w:sz w:val="32"/>
          <w:szCs w:val="32"/>
          <w:lang w:eastAsia="zh-CN"/>
        </w:rPr>
        <w:t>最高</w:t>
      </w:r>
      <w:r>
        <w:rPr>
          <w:rFonts w:hint="eastAsia" w:ascii="仿宋_GB2312" w:hAnsi="仿宋_GB2312" w:eastAsia="仿宋_GB2312" w:cs="仿宋_GB2312"/>
          <w:color w:val="000000"/>
          <w:spacing w:val="0"/>
          <w:w w:val="100"/>
          <w:position w:val="0"/>
          <w:sz w:val="32"/>
          <w:szCs w:val="32"/>
        </w:rPr>
        <w:t>1500元</w:t>
      </w:r>
      <w:r>
        <w:rPr>
          <w:rFonts w:hint="eastAsia" w:ascii="仿宋_GB2312" w:hAnsi="仿宋_GB2312" w:eastAsia="仿宋_GB2312" w:cs="仿宋_GB2312"/>
          <w:color w:val="000000"/>
          <w:spacing w:val="0"/>
          <w:w w:val="100"/>
          <w:position w:val="0"/>
          <w:sz w:val="32"/>
          <w:szCs w:val="32"/>
          <w:lang w:val="en-US" w:eastAsia="zh-CN"/>
        </w:rPr>
        <w:t>/人</w:t>
      </w:r>
      <w:r>
        <w:rPr>
          <w:rFonts w:hint="eastAsia" w:ascii="仿宋_GB2312" w:hAnsi="仿宋_GB2312" w:eastAsia="仿宋_GB2312" w:cs="仿宋_GB2312"/>
          <w:color w:val="000000"/>
          <w:spacing w:val="0"/>
          <w:w w:val="100"/>
          <w:position w:val="0"/>
          <w:sz w:val="32"/>
          <w:szCs w:val="32"/>
        </w:rPr>
        <w:t>的标准发放一次性扩岗补助</w:t>
      </w:r>
      <w:r>
        <w:rPr>
          <w:rFonts w:hint="eastAsia" w:ascii="仿宋_GB2312" w:hAnsi="仿宋_GB2312" w:eastAsia="仿宋_GB2312" w:cs="仿宋_GB2312"/>
          <w:color w:val="000000"/>
          <w:spacing w:val="0"/>
          <w:w w:val="100"/>
          <w:position w:val="0"/>
          <w:sz w:val="32"/>
          <w:szCs w:val="32"/>
          <w:lang w:eastAsia="zh-CN"/>
        </w:rPr>
        <w:t>。具体补助标准由各统筹地区根据失业保险基金备付能力确定。符合条件的省本级失业保险参保企业，按照1500元/人的标准发放一次性扩岗补助。</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u w:val="none"/>
          <w:shd w:val="clear" w:color="auto" w:fill="auto"/>
          <w:lang w:eastAsia="zh-CN" w:bidi="zh-TW"/>
        </w:rPr>
        <w:t>企业享受缓缴社会保险费政策不影响申领一次性扩岗补助。</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1名毕业年度普通高校毕业生的就业参保信息和身份只能由一户企业用于享受一次性扩岗补助，不能重复使用。一次性扩岗补助和一次性吸纳就业补贴不能重复享受。</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二、资金来源</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一次性扩岗补助所需资金从失业保险基金“其他支出”科目中列支。</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三、申领流程</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一次性扩岗补助可采取</w:t>
      </w:r>
      <w:r>
        <w:rPr>
          <w:rFonts w:hint="eastAsia" w:ascii="仿宋_GB2312" w:hAnsi="仿宋_GB2312" w:eastAsia="仿宋_GB2312" w:cs="仿宋_GB2312"/>
          <w:color w:val="000000"/>
          <w:spacing w:val="0"/>
          <w:w w:val="100"/>
          <w:position w:val="0"/>
          <w:sz w:val="32"/>
          <w:szCs w:val="32"/>
          <w:lang w:val="en-US" w:eastAsia="zh-CN"/>
        </w:rPr>
        <w:t>“免申即享”</w:t>
      </w:r>
      <w:r>
        <w:rPr>
          <w:rFonts w:hint="eastAsia" w:ascii="仿宋_GB2312" w:hAnsi="仿宋_GB2312" w:eastAsia="仿宋_GB2312" w:cs="仿宋_GB2312"/>
          <w:color w:val="000000"/>
          <w:spacing w:val="0"/>
          <w:w w:val="100"/>
          <w:position w:val="0"/>
          <w:sz w:val="32"/>
          <w:szCs w:val="32"/>
          <w:lang w:eastAsia="zh-CN"/>
        </w:rPr>
        <w:t>与“自主申请”相结合</w:t>
      </w:r>
      <w:r>
        <w:rPr>
          <w:rFonts w:hint="eastAsia" w:ascii="仿宋_GB2312" w:hAnsi="仿宋_GB2312" w:eastAsia="仿宋_GB2312" w:cs="仿宋_GB2312"/>
          <w:color w:val="000000"/>
          <w:spacing w:val="0"/>
          <w:w w:val="100"/>
          <w:position w:val="0"/>
          <w:sz w:val="32"/>
          <w:szCs w:val="32"/>
          <w:lang w:val="en-US" w:eastAsia="zh-CN"/>
        </w:rPr>
        <w:t>的经办模式，由企业失业保险参保地经办机构发放。</w:t>
      </w:r>
    </w:p>
    <w:p>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“免申即享”。</w:t>
      </w:r>
      <w:r>
        <w:rPr>
          <w:rFonts w:hint="eastAsia" w:ascii="仿宋_GB2312" w:hAnsi="仿宋_GB2312" w:eastAsia="仿宋_GB2312" w:cs="仿宋_GB2312"/>
          <w:b w:val="0"/>
          <w:bCs w:val="0"/>
          <w:color w:val="auto"/>
          <w:spacing w:val="0"/>
          <w:w w:val="100"/>
          <w:position w:val="0"/>
          <w:sz w:val="32"/>
          <w:szCs w:val="32"/>
          <w:lang w:eastAsia="zh-CN"/>
        </w:rPr>
        <w:t>部、省</w:t>
      </w:r>
      <w:r>
        <w:rPr>
          <w:rFonts w:hint="eastAsia" w:ascii="仿宋_GB2312" w:hAnsi="仿宋_GB2312" w:eastAsia="仿宋_GB2312" w:cs="仿宋_GB2312"/>
          <w:color w:val="000000"/>
          <w:spacing w:val="0"/>
          <w:w w:val="100"/>
          <w:position w:val="0"/>
          <w:sz w:val="32"/>
          <w:szCs w:val="32"/>
          <w:lang w:eastAsia="zh-CN"/>
        </w:rPr>
        <w:t>进行</w:t>
      </w:r>
      <w:r>
        <w:rPr>
          <w:rFonts w:hint="eastAsia" w:ascii="仿宋_GB2312" w:hAnsi="仿宋_GB2312" w:eastAsia="仿宋_GB2312" w:cs="仿宋_GB2312"/>
          <w:color w:val="000000"/>
          <w:spacing w:val="0"/>
          <w:w w:val="100"/>
          <w:position w:val="0"/>
          <w:sz w:val="32"/>
          <w:szCs w:val="32"/>
        </w:rPr>
        <w:t>新参保人员与普通高校应届毕业生身份</w:t>
      </w:r>
      <w:r>
        <w:rPr>
          <w:rFonts w:hint="eastAsia" w:ascii="仿宋_GB2312" w:hAnsi="仿宋_GB2312" w:eastAsia="仿宋_GB2312" w:cs="仿宋_GB2312"/>
          <w:color w:val="000000"/>
          <w:spacing w:val="0"/>
          <w:w w:val="100"/>
          <w:position w:val="0"/>
          <w:sz w:val="32"/>
          <w:szCs w:val="32"/>
          <w:lang w:eastAsia="zh-CN"/>
        </w:rPr>
        <w:t>信息</w:t>
      </w:r>
      <w:r>
        <w:rPr>
          <w:rFonts w:hint="eastAsia" w:ascii="仿宋_GB2312" w:hAnsi="仿宋_GB2312" w:eastAsia="仿宋_GB2312" w:cs="仿宋_GB2312"/>
          <w:color w:val="000000"/>
          <w:spacing w:val="0"/>
          <w:w w:val="100"/>
          <w:position w:val="0"/>
          <w:sz w:val="32"/>
          <w:szCs w:val="32"/>
        </w:rPr>
        <w:t>比对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将</w:t>
      </w:r>
      <w:r>
        <w:rPr>
          <w:rFonts w:hint="eastAsia" w:ascii="仿宋_GB2312" w:hAnsi="仿宋_GB2312" w:eastAsia="仿宋_GB2312" w:cs="仿宋_GB2312"/>
          <w:color w:val="000000"/>
          <w:spacing w:val="0"/>
          <w:w w:val="100"/>
          <w:position w:val="0"/>
          <w:sz w:val="32"/>
          <w:szCs w:val="32"/>
          <w:lang w:eastAsia="zh-CN"/>
        </w:rPr>
        <w:t>新增</w:t>
      </w:r>
      <w:r>
        <w:rPr>
          <w:rFonts w:hint="eastAsia" w:ascii="仿宋_GB2312" w:hAnsi="仿宋_GB2312" w:eastAsia="仿宋_GB2312" w:cs="仿宋_GB2312"/>
          <w:color w:val="000000"/>
          <w:spacing w:val="0"/>
          <w:w w:val="100"/>
          <w:position w:val="0"/>
          <w:sz w:val="32"/>
          <w:szCs w:val="32"/>
        </w:rPr>
        <w:t>参保人</w:t>
      </w:r>
      <w:r>
        <w:rPr>
          <w:rFonts w:hint="eastAsia" w:ascii="仿宋_GB2312" w:hAnsi="仿宋_GB2312" w:eastAsia="仿宋_GB2312" w:cs="仿宋_GB2312"/>
          <w:color w:val="000000"/>
          <w:spacing w:val="0"/>
          <w:w w:val="100"/>
          <w:position w:val="0"/>
          <w:sz w:val="32"/>
          <w:szCs w:val="32"/>
          <w:lang w:eastAsia="zh-CN"/>
        </w:rPr>
        <w:t>员</w:t>
      </w:r>
      <w:r>
        <w:rPr>
          <w:rFonts w:hint="eastAsia" w:ascii="仿宋_GB2312" w:hAnsi="仿宋_GB2312" w:eastAsia="仿宋_GB2312" w:cs="仿宋_GB2312"/>
          <w:color w:val="000000"/>
          <w:spacing w:val="0"/>
          <w:w w:val="100"/>
          <w:position w:val="0"/>
          <w:sz w:val="32"/>
          <w:szCs w:val="32"/>
        </w:rPr>
        <w:t>为毕业年度普通高校毕业生的</w:t>
      </w:r>
      <w:r>
        <w:rPr>
          <w:rFonts w:hint="eastAsia" w:ascii="仿宋_GB2312" w:hAnsi="仿宋_GB2312" w:eastAsia="仿宋_GB2312" w:cs="仿宋_GB2312"/>
          <w:color w:val="000000"/>
          <w:spacing w:val="0"/>
          <w:w w:val="100"/>
          <w:position w:val="0"/>
          <w:sz w:val="32"/>
          <w:szCs w:val="32"/>
          <w:lang w:eastAsia="zh-CN"/>
        </w:rPr>
        <w:t>名单推送至参保地失业保险经办机构审核。各级经办机构要通过</w:t>
      </w:r>
      <w:r>
        <w:rPr>
          <w:rFonts w:hint="eastAsia" w:ascii="仿宋_GB2312" w:hAnsi="仿宋_GB2312" w:eastAsia="仿宋_GB2312" w:cs="仿宋_GB2312"/>
          <w:b w:val="0"/>
          <w:bCs w:val="0"/>
          <w:color w:val="auto"/>
          <w:spacing w:val="0"/>
          <w:w w:val="100"/>
          <w:position w:val="0"/>
          <w:sz w:val="32"/>
          <w:szCs w:val="32"/>
          <w:lang w:eastAsia="zh-CN"/>
        </w:rPr>
        <w:t>数据比对核验申领条件，</w:t>
      </w:r>
      <w:r>
        <w:rPr>
          <w:rFonts w:hint="eastAsia" w:ascii="仿宋_GB2312" w:hAnsi="仿宋_GB2312" w:eastAsia="仿宋_GB2312" w:cs="仿宋_GB2312"/>
          <w:color w:val="000000"/>
          <w:spacing w:val="0"/>
          <w:w w:val="100"/>
          <w:position w:val="0"/>
          <w:sz w:val="32"/>
          <w:szCs w:val="32"/>
          <w:lang w:eastAsia="zh-CN"/>
        </w:rPr>
        <w:t>及时完成审核，在数据下发30日内向符合条件的企业发放一次性扩岗补助。</w:t>
      </w:r>
    </w:p>
    <w:p>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“自主申请”。</w:t>
      </w:r>
      <w:r>
        <w:rPr>
          <w:rFonts w:hint="eastAsia" w:ascii="仿宋_GB2312" w:hAnsi="仿宋_GB2312" w:eastAsia="仿宋_GB2312" w:cs="仿宋_GB2312"/>
          <w:color w:val="000000"/>
          <w:spacing w:val="0"/>
          <w:w w:val="100"/>
          <w:position w:val="0"/>
          <w:sz w:val="32"/>
          <w:szCs w:val="32"/>
          <w:lang w:eastAsia="zh-CN"/>
        </w:rPr>
        <w:t>各级失业保险经办机构要开设服务窗口，畅通网办渠道，</w:t>
      </w:r>
      <w:r>
        <w:rPr>
          <w:rFonts w:hint="eastAsia" w:ascii="仿宋_GB2312" w:hAnsi="仿宋_GB2312" w:eastAsia="仿宋_GB2312" w:cs="仿宋_GB2312"/>
          <w:color w:val="auto"/>
          <w:spacing w:val="0"/>
          <w:w w:val="100"/>
          <w:position w:val="0"/>
          <w:sz w:val="32"/>
          <w:szCs w:val="32"/>
          <w:lang w:eastAsia="zh-CN"/>
        </w:rPr>
        <w:t>做好审核发放工作，</w:t>
      </w:r>
      <w:r>
        <w:rPr>
          <w:rFonts w:hint="eastAsia" w:ascii="仿宋_GB2312" w:hAnsi="仿宋_GB2312" w:eastAsia="仿宋_GB2312" w:cs="仿宋_GB2312"/>
          <w:color w:val="000000"/>
          <w:spacing w:val="0"/>
          <w:w w:val="100"/>
          <w:position w:val="0"/>
          <w:sz w:val="32"/>
          <w:szCs w:val="32"/>
          <w:lang w:eastAsia="zh-CN"/>
        </w:rPr>
        <w:t>在收到企业申请后30日内向符合条件的企业发放一次性扩岗补助。劳务派遣企业适用“自主申请”经办模式，根据其自用职工和派遣到其他企业的职工总数申领，需提供招用高校毕业生花名册（姓名、身份证号、毕业时间、劳动合同起止时间、联系电话）、派遣协议、派遣企业与用工企业就一次性扩岗补助分配达成的协议等。</w:t>
      </w:r>
    </w:p>
    <w:p>
      <w:pPr>
        <w:pStyle w:val="11"/>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资金拨付。一次性扩岗补助资金发放至用人企业对公账户，对</w:t>
      </w:r>
      <w:r>
        <w:rPr>
          <w:rFonts w:hint="eastAsia" w:ascii="仿宋_GB2312" w:hAnsi="仿宋_GB2312" w:eastAsia="仿宋_GB2312" w:cs="仿宋_GB2312"/>
          <w:color w:val="000000"/>
          <w:spacing w:val="0"/>
          <w:w w:val="100"/>
          <w:position w:val="0"/>
          <w:sz w:val="32"/>
          <w:szCs w:val="32"/>
        </w:rPr>
        <w:t>没有对公</w:t>
      </w:r>
      <w:r>
        <w:rPr>
          <w:rFonts w:hint="eastAsia" w:ascii="仿宋_GB2312" w:hAnsi="仿宋_GB2312" w:eastAsia="仿宋_GB2312" w:cs="仿宋_GB2312"/>
          <w:color w:val="000000"/>
          <w:spacing w:val="0"/>
          <w:w w:val="100"/>
          <w:position w:val="0"/>
          <w:sz w:val="32"/>
          <w:szCs w:val="32"/>
          <w:lang w:eastAsia="zh-CN"/>
        </w:rPr>
        <w:t>银行</w:t>
      </w:r>
      <w:r>
        <w:rPr>
          <w:rFonts w:hint="eastAsia" w:ascii="仿宋_GB2312" w:hAnsi="仿宋_GB2312" w:eastAsia="仿宋_GB2312" w:cs="仿宋_GB2312"/>
          <w:color w:val="000000"/>
          <w:spacing w:val="0"/>
          <w:w w:val="100"/>
          <w:position w:val="0"/>
          <w:sz w:val="32"/>
          <w:szCs w:val="32"/>
        </w:rPr>
        <w:t>账户的企业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可将资金发放至税务部门提供的该企业缴纳社会保险费账户。</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rPr>
          <w:rFonts w:hint="default"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lang w:eastAsia="zh-CN"/>
        </w:rPr>
        <w:t xml:space="preserve"> </w:t>
      </w:r>
      <w:r>
        <w:rPr>
          <w:rFonts w:hint="default" w:ascii="黑体" w:hAnsi="黑体" w:eastAsia="黑体" w:cs="黑体"/>
          <w:color w:val="000000"/>
          <w:spacing w:val="0"/>
          <w:w w:val="100"/>
          <w:position w:val="0"/>
          <w:sz w:val="32"/>
          <w:szCs w:val="32"/>
          <w:lang w:eastAsia="zh-CN"/>
        </w:rPr>
        <w:t xml:space="preserve">   </w:t>
      </w:r>
      <w:r>
        <w:rPr>
          <w:rFonts w:hint="eastAsia" w:ascii="黑体" w:hAnsi="黑体" w:eastAsia="黑体" w:cs="黑体"/>
          <w:color w:val="000000"/>
          <w:spacing w:val="0"/>
          <w:w w:val="100"/>
          <w:position w:val="0"/>
          <w:sz w:val="32"/>
          <w:szCs w:val="32"/>
          <w:lang w:eastAsia="zh-CN"/>
        </w:rPr>
        <w:t xml:space="preserve">四、实施期限 </w:t>
      </w:r>
      <w:r>
        <w:rPr>
          <w:rFonts w:hint="default" w:ascii="黑体" w:hAnsi="黑体" w:eastAsia="黑体" w:cs="黑体"/>
          <w:color w:val="000000"/>
          <w:spacing w:val="0"/>
          <w:w w:val="100"/>
          <w:position w:val="0"/>
          <w:sz w:val="32"/>
          <w:szCs w:val="32"/>
          <w:lang w:eastAsia="zh-CN"/>
        </w:rPr>
        <w:t xml:space="preserve"> </w:t>
      </w:r>
      <w:r>
        <w:rPr>
          <w:rFonts w:hint="default" w:ascii="Times New Roman" w:hAnsi="Times New Roman" w:eastAsia="仿宋" w:cs="Times New Roman"/>
          <w:color w:val="000000"/>
          <w:spacing w:val="0"/>
          <w:w w:val="100"/>
          <w:position w:val="0"/>
          <w:sz w:val="32"/>
          <w:szCs w:val="32"/>
          <w:lang w:eastAsia="zh-CN"/>
        </w:rPr>
        <w:t xml:space="preserve">  </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lang w:eastAsia="zh-CN"/>
        </w:rPr>
        <w:t xml:space="preserve"> </w:t>
      </w:r>
      <w:r>
        <w:rPr>
          <w:rFonts w:hint="eastAsia" w:ascii="仿宋_GB2312" w:hAnsi="仿宋_GB2312" w:eastAsia="仿宋_GB2312" w:cs="仿宋_GB2312"/>
          <w:color w:val="000000"/>
          <w:spacing w:val="0"/>
          <w:w w:val="100"/>
          <w:position w:val="0"/>
          <w:sz w:val="32"/>
          <w:szCs w:val="32"/>
          <w:lang w:eastAsia="zh-CN"/>
        </w:rPr>
        <w:t xml:space="preserve">   政策</w:t>
      </w:r>
      <w:r>
        <w:rPr>
          <w:rFonts w:hint="eastAsia" w:ascii="仿宋_GB2312" w:hAnsi="仿宋_GB2312" w:eastAsia="仿宋_GB2312" w:cs="仿宋_GB2312"/>
          <w:color w:val="000000"/>
          <w:spacing w:val="0"/>
          <w:w w:val="100"/>
          <w:position w:val="0"/>
          <w:sz w:val="32"/>
          <w:szCs w:val="32"/>
        </w:rPr>
        <w:t>实施期限截至2022年</w:t>
      </w:r>
      <w:r>
        <w:rPr>
          <w:rFonts w:hint="eastAsia" w:ascii="仿宋_GB2312" w:hAnsi="仿宋_GB2312" w:eastAsia="仿宋_GB2312" w:cs="仿宋_GB2312"/>
          <w:color w:val="000000"/>
          <w:spacing w:val="0"/>
          <w:w w:val="100"/>
          <w:position w:val="0"/>
          <w:sz w:val="32"/>
          <w:szCs w:val="32"/>
          <w:lang w:val="en-US" w:eastAsia="zh-CN"/>
        </w:rPr>
        <w:t>12月31日</w:t>
      </w:r>
      <w:r>
        <w:rPr>
          <w:rFonts w:hint="eastAsia" w:ascii="仿宋_GB2312" w:hAnsi="仿宋_GB2312" w:eastAsia="仿宋_GB2312" w:cs="仿宋_GB2312"/>
          <w:color w:val="000000"/>
          <w:spacing w:val="0"/>
          <w:w w:val="100"/>
          <w:position w:val="0"/>
          <w:sz w:val="32"/>
          <w:szCs w:val="32"/>
          <w:lang w:eastAsia="zh-CN"/>
        </w:rPr>
        <w:t>，一次性扩岗补助申请期限截至2023年1月31日。</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outlineLvl w:val="9"/>
        <w:rPr>
          <w:rFonts w:hint="eastAsia" w:ascii="黑体" w:hAnsi="黑体" w:eastAsia="黑体" w:cs="黑体"/>
          <w:color w:val="000000"/>
          <w:spacing w:val="0"/>
          <w:w w:val="100"/>
          <w:position w:val="0"/>
          <w:sz w:val="32"/>
          <w:szCs w:val="32"/>
          <w:lang w:eastAsia="zh-CN"/>
        </w:rPr>
      </w:pPr>
      <w:r>
        <w:rPr>
          <w:rFonts w:hint="eastAsia" w:ascii="黑体" w:hAnsi="黑体" w:eastAsia="黑体" w:cs="黑体"/>
          <w:color w:val="000000"/>
          <w:spacing w:val="0"/>
          <w:w w:val="100"/>
          <w:position w:val="0"/>
          <w:sz w:val="32"/>
          <w:szCs w:val="32"/>
          <w:lang w:eastAsia="zh-CN"/>
        </w:rPr>
        <w:t>五、推进措施</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楷体_GB2312" w:hAnsi="楷体_GB2312" w:eastAsia="楷体_GB2312" w:cs="楷体_GB2312"/>
          <w:color w:val="000000"/>
          <w:spacing w:val="0"/>
          <w:w w:val="100"/>
          <w:position w:val="0"/>
          <w:sz w:val="32"/>
          <w:szCs w:val="32"/>
          <w:u w:val="none"/>
          <w:shd w:val="clear" w:color="auto" w:fill="auto"/>
          <w:lang w:val="zh-TW" w:eastAsia="zh-CN" w:bidi="zh-TW"/>
        </w:rPr>
        <w:t>（一）强化组织领导。</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各级人力资源社会保障、教育、财政部门要高度重视、主动作为，加强协调配合，形成工作合力，采取有力措施推动政策落实。要最大限度发挥政策效应，不得超出现有政策规定提高政策享受门槛，增加限制条件。要加大业务指导、工作调度、信息支持，对政策落实慢的地区，适时开展专项督导。</w:t>
      </w:r>
    </w:p>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楷体_GB2312" w:hAnsi="楷体_GB2312" w:eastAsia="楷体_GB2312" w:cs="楷体_GB2312"/>
          <w:color w:val="000000"/>
          <w:spacing w:val="0"/>
          <w:w w:val="100"/>
          <w:position w:val="0"/>
          <w:sz w:val="32"/>
          <w:szCs w:val="32"/>
          <w:u w:val="none"/>
          <w:shd w:val="clear" w:color="auto" w:fill="auto"/>
          <w:lang w:val="zh-TW" w:eastAsia="zh-CN" w:bidi="zh-TW"/>
        </w:rPr>
        <w:t>（二）强化宣传引导。</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要充分发挥传统媒体和新媒体作用，不断拓宽宣传渠道，广泛开展政策宣传解读。要发挥省“四进”工作组、人社用工服务专员作用，组织送政策上门，精准推送政策到企业。要及时总结推广好做法，发挥典型示范带动作用，扩大政策受益面。</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32" w:firstLineChars="200"/>
        <w:jc w:val="both"/>
        <w:textAlignment w:val="auto"/>
        <w:outlineLvl w:val="9"/>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pPr>
      <w:r>
        <w:rPr>
          <w:rFonts w:hint="eastAsia" w:ascii="楷体_GB2312" w:hAnsi="楷体_GB2312" w:eastAsia="楷体_GB2312" w:cs="楷体_GB2312"/>
          <w:color w:val="000000"/>
          <w:spacing w:val="0"/>
          <w:w w:val="100"/>
          <w:position w:val="0"/>
          <w:sz w:val="32"/>
          <w:szCs w:val="32"/>
          <w:u w:val="none"/>
          <w:shd w:val="clear" w:color="auto" w:fill="auto"/>
          <w:lang w:val="zh-TW" w:eastAsia="zh-CN" w:bidi="zh-TW"/>
        </w:rPr>
        <w:t>（三）强化基金安全。</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人力资源社会保障部门信息化综合管理机构、经办机构要明确职责分工，切实做好信息上报和核查工作。对部端比对下发的身份不实、跨省（区、市）重复享受等疑点数据，要立即组织核实，及时追回企业所享受的不符合条件的一次性扩岗补助，按规定追究其相应责任。各市要按月将政策落实情况报送省厅，执行中遇有重大情况和问题，</w:t>
      </w:r>
      <w:r>
        <w:rPr>
          <w:rFonts w:hint="eastAsia" w:ascii="仿宋_GB2312" w:hAnsi="仿宋_GB2312" w:eastAsia="仿宋_GB2312" w:cs="仿宋_GB2312"/>
          <w:color w:val="000000"/>
          <w:spacing w:val="0"/>
          <w:w w:val="100"/>
          <w:position w:val="0"/>
          <w:sz w:val="32"/>
          <w:szCs w:val="32"/>
          <w:u w:val="none"/>
          <w:shd w:val="clear" w:color="auto" w:fill="auto"/>
          <w:lang w:eastAsia="zh-CN" w:bidi="zh-TW"/>
        </w:rPr>
        <w:t>要</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及时报告。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 w:cs="Times New Roman"/>
          <w:color w:val="000000"/>
          <w:spacing w:val="0"/>
          <w:w w:val="100"/>
          <w:position w:val="0"/>
          <w:sz w:val="32"/>
          <w:szCs w:val="32"/>
          <w:u w:val="none"/>
          <w:shd w:val="clear" w:color="auto" w:fill="auto"/>
          <w:lang w:val="zh-TW" w:eastAsia="zh-CN" w:bidi="zh-TW"/>
        </w:rPr>
      </w:pPr>
    </w:p>
    <w:p>
      <w:pPr>
        <w:pStyle w:val="2"/>
        <w:rPr>
          <w:rFonts w:hint="eastAsia"/>
          <w:lang w:val="zh-TW"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vAlign w:val="center"/>
          </w:tcPr>
          <w:p>
            <w:pPr>
              <w:pStyle w:val="7"/>
              <w:keepNext w:val="0"/>
              <w:keepLines w:val="0"/>
              <w:widowControl w:val="0"/>
              <w:suppressLineNumbers w:val="0"/>
              <w:snapToGrid w:val="0"/>
              <w:spacing w:before="0" w:beforeAutospacing="0" w:after="0" w:afterAutospacing="0" w:line="580" w:lineRule="exact"/>
              <w:ind w:left="0" w:right="0"/>
              <w:jc w:val="center"/>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lang w:val="en-US" w:eastAsia="zh-CN" w:bidi="ar"/>
              </w:rPr>
              <w:t>山东省人力资源和社会保障厅</w:t>
            </w:r>
          </w:p>
        </w:tc>
        <w:tc>
          <w:tcPr>
            <w:tcW w:w="3020" w:type="dxa"/>
            <w:vAlign w:val="center"/>
          </w:tcPr>
          <w:p>
            <w:pPr>
              <w:pStyle w:val="7"/>
              <w:keepNext w:val="0"/>
              <w:keepLines w:val="0"/>
              <w:widowControl w:val="0"/>
              <w:suppressLineNumbers w:val="0"/>
              <w:snapToGrid w:val="0"/>
              <w:spacing w:before="0" w:beforeAutospacing="0" w:after="0" w:afterAutospacing="0" w:line="580" w:lineRule="exact"/>
              <w:ind w:left="0" w:right="0"/>
              <w:jc w:val="center"/>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lang w:val="en-US" w:eastAsia="zh-CN" w:bidi="ar"/>
              </w:rPr>
              <w:t>山东省</w:t>
            </w:r>
            <w:r>
              <w:rPr>
                <w:rFonts w:hint="eastAsia" w:ascii="Times New Roman" w:hAnsi="Times New Roman" w:eastAsia="仿宋_GB2312" w:cs="Times New Roman"/>
                <w:kern w:val="2"/>
                <w:sz w:val="32"/>
                <w:szCs w:val="32"/>
                <w:lang w:val="en-US" w:eastAsia="zh-CN" w:bidi="ar"/>
              </w:rPr>
              <w:t>教育厅</w:t>
            </w:r>
          </w:p>
        </w:tc>
        <w:tc>
          <w:tcPr>
            <w:tcW w:w="3020" w:type="dxa"/>
            <w:vAlign w:val="center"/>
          </w:tcPr>
          <w:p>
            <w:pPr>
              <w:pStyle w:val="7"/>
              <w:keepNext w:val="0"/>
              <w:keepLines w:val="0"/>
              <w:widowControl w:val="0"/>
              <w:suppressLineNumbers w:val="0"/>
              <w:snapToGrid w:val="0"/>
              <w:spacing w:before="0" w:beforeAutospacing="0" w:after="0" w:afterAutospacing="0" w:line="580" w:lineRule="exact"/>
              <w:ind w:left="0" w:right="0"/>
              <w:jc w:val="center"/>
              <w:rPr>
                <w:rFonts w:hint="default" w:ascii="Times New Roman" w:hAnsi="Times New Roman" w:eastAsia="仿宋_GB2312" w:cs="Times New Roman"/>
                <w:kern w:val="2"/>
                <w:sz w:val="32"/>
                <w:szCs w:val="32"/>
                <w:vertAlign w:val="baseline"/>
                <w:lang w:val="en-US" w:eastAsia="zh-CN" w:bidi="ar"/>
              </w:rPr>
            </w:pPr>
            <w:r>
              <w:rPr>
                <w:rFonts w:hint="default" w:ascii="Times New Roman" w:hAnsi="Times New Roman" w:eastAsia="仿宋_GB2312" w:cs="Times New Roman"/>
                <w:kern w:val="2"/>
                <w:sz w:val="32"/>
                <w:szCs w:val="32"/>
                <w:lang w:val="en-US" w:eastAsia="zh-CN" w:bidi="ar"/>
              </w:rPr>
              <w:t>山东省财政厅</w:t>
            </w:r>
          </w:p>
        </w:tc>
      </w:tr>
    </w:tbl>
    <w:p>
      <w:pPr>
        <w:pStyle w:val="7"/>
        <w:spacing w:before="0" w:beforeAutospacing="0" w:after="0" w:afterAutospacing="0" w:line="580" w:lineRule="exact"/>
        <w:ind w:firstLine="5372" w:firstLineChars="1700"/>
        <w:jc w:val="left"/>
        <w:rPr>
          <w:rFonts w:hint="eastAsia" w:ascii="仿宋_GB2312" w:hAnsi="Times New Roman"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2022年8月21日</w:t>
      </w:r>
    </w:p>
    <w:p>
      <w:pPr>
        <w:pStyle w:val="7"/>
        <w:keepNext w:val="0"/>
        <w:keepLines w:val="0"/>
        <w:widowControl w:val="0"/>
        <w:suppressLineNumbers w:val="0"/>
        <w:snapToGrid w:val="0"/>
        <w:spacing w:before="0" w:beforeAutospacing="0" w:after="0" w:afterAutospacing="0" w:line="580" w:lineRule="exact"/>
        <w:ind w:left="0" w:right="0" w:firstLine="632" w:firstLineChars="200"/>
        <w:jc w:val="left"/>
        <w:rPr>
          <w:rFonts w:hint="eastAsia" w:ascii="仿宋_GB2312" w:hAnsi="Times New Roman" w:eastAsia="仿宋_GB2312" w:cs="仿宋_GB2312"/>
          <w:kern w:val="2"/>
          <w:sz w:val="32"/>
          <w:szCs w:val="32"/>
          <w:lang w:val="en-US" w:eastAsia="zh-CN" w:bidi="ar"/>
        </w:rPr>
      </w:pPr>
    </w:p>
    <w:p>
      <w:pPr>
        <w:pStyle w:val="7"/>
        <w:keepNext w:val="0"/>
        <w:keepLines w:val="0"/>
        <w:widowControl w:val="0"/>
        <w:suppressLineNumbers w:val="0"/>
        <w:snapToGrid w:val="0"/>
        <w:spacing w:before="0" w:beforeAutospacing="0" w:after="0" w:afterAutospacing="0" w:line="580" w:lineRule="exact"/>
        <w:ind w:left="0" w:right="0" w:firstLine="632" w:firstLineChars="200"/>
        <w:jc w:val="left"/>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（此件主动公开）</w:t>
      </w:r>
    </w:p>
    <w:p>
      <w:pPr>
        <w:pStyle w:val="7"/>
        <w:keepNext w:val="0"/>
        <w:keepLines w:val="0"/>
        <w:widowControl w:val="0"/>
        <w:suppressLineNumbers w:val="0"/>
        <w:snapToGrid w:val="0"/>
        <w:spacing w:before="0" w:beforeAutospacing="0" w:after="0" w:afterAutospacing="0" w:line="580" w:lineRule="exact"/>
        <w:ind w:left="0" w:right="0" w:firstLine="632" w:firstLineChars="200"/>
        <w:jc w:val="left"/>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（联系单位：省人力资源社会保障厅失业保险处）</w:t>
      </w:r>
    </w:p>
    <w:p>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outlineLvl w:val="9"/>
        <w:rPr>
          <w:rFonts w:hint="eastAsia" w:ascii="Times New Roman" w:hAnsi="Times New Roman" w:eastAsia="仿宋" w:cs="Times New Roman"/>
          <w:color w:val="000000"/>
          <w:spacing w:val="0"/>
          <w:w w:val="100"/>
          <w:position w:val="0"/>
          <w:sz w:val="32"/>
          <w:szCs w:val="32"/>
          <w:u w:val="none"/>
          <w:shd w:val="clear" w:color="auto" w:fill="auto"/>
          <w:lang w:val="zh-TW" w:eastAsia="zh-CN" w:bidi="zh-TW"/>
        </w:rPr>
      </w:pPr>
    </w:p>
    <w:p>
      <w:pPr>
        <w:pStyle w:val="2"/>
        <w:keepNext w:val="0"/>
        <w:keepLines w:val="0"/>
        <w:pageBreakBefore w:val="0"/>
        <w:widowControl w:val="0"/>
        <w:kinsoku/>
        <w:wordWrap/>
        <w:overflowPunct/>
        <w:topLinePunct w:val="0"/>
        <w:bidi w:val="0"/>
        <w:adjustRightInd/>
        <w:snapToGrid/>
        <w:spacing w:before="0" w:after="0" w:afterLines="0" w:line="240" w:lineRule="auto"/>
        <w:ind w:left="0" w:leftChars="0" w:right="0" w:rightChars="0"/>
        <w:textAlignment w:val="auto"/>
        <w:rPr>
          <w:rFonts w:hint="eastAsia" w:ascii="Times New Roman" w:hAnsi="Times New Roman" w:eastAsia="仿宋" w:cs="Times New Roman"/>
          <w:color w:val="000000"/>
          <w:spacing w:val="0"/>
          <w:w w:val="100"/>
          <w:position w:val="0"/>
          <w:sz w:val="32"/>
          <w:szCs w:val="32"/>
          <w:u w:val="none"/>
          <w:shd w:val="clear" w:color="auto" w:fill="auto"/>
          <w:lang w:val="zh-TW" w:eastAsia="zh-CN" w:bidi="zh-TW"/>
        </w:rPr>
      </w:pPr>
      <w:bookmarkStart w:id="0" w:name="_GoBack"/>
      <w:bookmarkEnd w:id="0"/>
    </w:p>
    <w:sectPr>
      <w:footerReference r:id="rId5" w:type="default"/>
      <w:pgSz w:w="11906" w:h="16838"/>
      <w:pgMar w:top="2098" w:right="1531" w:bottom="1814" w:left="1531" w:header="851" w:footer="1587" w:gutter="0"/>
      <w:cols w:space="0" w:num="1"/>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before="0" w:after="0"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D6A46"/>
    <w:multiLevelType w:val="singleLevel"/>
    <w:tmpl w:val="FFBD6A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00172A27"/>
    <w:rsid w:val="04EB6071"/>
    <w:rsid w:val="0DEA0255"/>
    <w:rsid w:val="106C3853"/>
    <w:rsid w:val="11F449A1"/>
    <w:rsid w:val="14743DD9"/>
    <w:rsid w:val="157B76C9"/>
    <w:rsid w:val="163A2380"/>
    <w:rsid w:val="17B059DE"/>
    <w:rsid w:val="180E486F"/>
    <w:rsid w:val="191734E3"/>
    <w:rsid w:val="1AEB5378"/>
    <w:rsid w:val="2330262C"/>
    <w:rsid w:val="23D37C31"/>
    <w:rsid w:val="27C01E64"/>
    <w:rsid w:val="286F5F58"/>
    <w:rsid w:val="2ADC5B48"/>
    <w:rsid w:val="2B9C4DA5"/>
    <w:rsid w:val="2BFB2405"/>
    <w:rsid w:val="2EEC3F1B"/>
    <w:rsid w:val="300B3531"/>
    <w:rsid w:val="3132313A"/>
    <w:rsid w:val="345A352E"/>
    <w:rsid w:val="39B15694"/>
    <w:rsid w:val="3C3F47AF"/>
    <w:rsid w:val="3ED775BD"/>
    <w:rsid w:val="3F62069E"/>
    <w:rsid w:val="422B0690"/>
    <w:rsid w:val="45CA6B7A"/>
    <w:rsid w:val="46C51DD9"/>
    <w:rsid w:val="4890310D"/>
    <w:rsid w:val="492216AB"/>
    <w:rsid w:val="4B684018"/>
    <w:rsid w:val="4D2D3A24"/>
    <w:rsid w:val="4E837D2E"/>
    <w:rsid w:val="4FAF047B"/>
    <w:rsid w:val="4FFE6180"/>
    <w:rsid w:val="54944E3E"/>
    <w:rsid w:val="55BF414A"/>
    <w:rsid w:val="57FF5411"/>
    <w:rsid w:val="5845405B"/>
    <w:rsid w:val="5A3C1566"/>
    <w:rsid w:val="5D1F79AB"/>
    <w:rsid w:val="5F3FE51E"/>
    <w:rsid w:val="6A6E21DD"/>
    <w:rsid w:val="6C42277F"/>
    <w:rsid w:val="70C84F0F"/>
    <w:rsid w:val="72EC6D29"/>
    <w:rsid w:val="7497564A"/>
    <w:rsid w:val="756B8329"/>
    <w:rsid w:val="759869F3"/>
    <w:rsid w:val="77166CE5"/>
    <w:rsid w:val="78082143"/>
    <w:rsid w:val="797F604C"/>
    <w:rsid w:val="7B90153C"/>
    <w:rsid w:val="7BB5978A"/>
    <w:rsid w:val="7D77086B"/>
    <w:rsid w:val="7DB57EFB"/>
    <w:rsid w:val="7F7D6D50"/>
    <w:rsid w:val="B79F3597"/>
    <w:rsid w:val="BDDF0B02"/>
    <w:rsid w:val="CD0DECE5"/>
    <w:rsid w:val="D76FBDA9"/>
    <w:rsid w:val="DECE816F"/>
    <w:rsid w:val="DFDE639A"/>
    <w:rsid w:val="EFBE0AF0"/>
    <w:rsid w:val="F7F738F8"/>
    <w:rsid w:val="F9FF4E7F"/>
    <w:rsid w:val="FF5A1D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32"/>
      <w:szCs w:val="24"/>
      <w:shd w:val="clear" w:color="auto" w:fill="auto"/>
      <w:lang w:val="en-US" w:eastAsia="en-US" w:bidi="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spacing w:after="120" w:afterLines="0" w:afterAutospacing="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1481</Words>
  <Characters>1523</Characters>
  <Lines>0</Lines>
  <Paragraphs>0</Paragraphs>
  <TotalTime>0</TotalTime>
  <ScaleCrop>false</ScaleCrop>
  <LinksUpToDate>false</LinksUpToDate>
  <CharactersWithSpaces>1553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2022-07-23T23:39:00Z</dcterms:created>
  <dc:creator>admin</dc:creator>
  <cp:lastModifiedBy>看淡了</cp:lastModifiedBy>
  <cp:lastPrinted>2022-08-13T23:39:00Z</cp:lastPrinted>
  <dcterms:modified xsi:type="dcterms:W3CDTF">2022-09-06T00:55:35Z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56EB359DBCF84A829F54AAF21859446F</vt:lpwstr>
  </property>
</Properties>
</file>