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8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</w:pPr>
    </w:p>
    <w:p>
      <w:pPr>
        <w:pStyle w:val="2"/>
        <w:spacing w:beforeLines="0" w:after="0" w:afterLines="0" w:line="580" w:lineRule="exact"/>
        <w:ind w:left="0" w:leftChars="0" w:firstLine="0" w:firstLineChars="0"/>
        <w:jc w:val="center"/>
        <w:rPr>
          <w:color w:val="auto"/>
        </w:rPr>
      </w:pPr>
    </w:p>
    <w:p>
      <w:pPr>
        <w:pStyle w:val="2"/>
        <w:spacing w:beforeLines="0" w:after="0" w:afterLines="0" w:line="580" w:lineRule="exact"/>
        <w:ind w:left="0" w:leftChars="0" w:firstLine="0" w:firstLineChars="0"/>
        <w:jc w:val="center"/>
        <w:rPr>
          <w:color w:val="auto"/>
        </w:rPr>
      </w:pPr>
    </w:p>
    <w:p>
      <w:pPr>
        <w:pStyle w:val="2"/>
        <w:spacing w:beforeLines="0" w:after="0" w:afterLines="0" w:line="580" w:lineRule="exact"/>
        <w:ind w:left="0" w:leftChars="0" w:firstLine="0" w:firstLineChars="0"/>
        <w:jc w:val="center"/>
        <w:rPr>
          <w:color w:val="auto"/>
        </w:rPr>
      </w:pPr>
    </w:p>
    <w:p>
      <w:pPr>
        <w:pStyle w:val="2"/>
        <w:spacing w:beforeLines="0" w:after="0" w:afterLines="0" w:line="580" w:lineRule="exact"/>
        <w:ind w:left="0" w:leftChars="0" w:firstLine="0" w:firstLineChars="0"/>
        <w:jc w:val="center"/>
        <w:rPr>
          <w:color w:val="auto"/>
        </w:rPr>
      </w:pPr>
    </w:p>
    <w:p>
      <w:pPr>
        <w:pStyle w:val="2"/>
        <w:spacing w:beforeLines="0" w:after="0" w:afterLines="0" w:line="580" w:lineRule="exact"/>
        <w:ind w:left="0" w:leftChars="0" w:firstLine="0" w:firstLineChars="0"/>
        <w:jc w:val="center"/>
        <w:rPr>
          <w:color w:val="auto"/>
        </w:rPr>
      </w:pPr>
    </w:p>
    <w:p>
      <w:pPr>
        <w:pStyle w:val="2"/>
        <w:spacing w:beforeLines="0" w:after="0" w:afterLines="0" w:line="580" w:lineRule="exact"/>
        <w:ind w:left="0" w:leftChars="0" w:firstLine="0" w:firstLineChars="0"/>
        <w:jc w:val="center"/>
        <w:rPr>
          <w:color w:val="auto"/>
        </w:rPr>
      </w:pPr>
      <w:r>
        <w:rPr>
          <w:color w:val="auto"/>
        </w:rPr>
        <w:t>鲁人社字〔2022〕101号</w:t>
      </w:r>
    </w:p>
    <w:p>
      <w:pPr>
        <w:pStyle w:val="2"/>
        <w:spacing w:beforeLines="0" w:after="0" w:afterLines="0" w:line="580" w:lineRule="exact"/>
        <w:ind w:left="0" w:leftChars="0" w:firstLine="0" w:firstLineChars="0"/>
        <w:jc w:val="center"/>
        <w:rPr>
          <w:color w:val="auto"/>
        </w:rPr>
      </w:pPr>
    </w:p>
    <w:p>
      <w:pPr>
        <w:pStyle w:val="2"/>
        <w:spacing w:beforeLines="0" w:after="0" w:afterLines="0" w:line="580" w:lineRule="exact"/>
        <w:ind w:left="0" w:leftChars="0" w:firstLine="0" w:firstLineChars="0"/>
        <w:jc w:val="center"/>
        <w:rPr>
          <w:color w:val="auto"/>
        </w:rPr>
      </w:pPr>
    </w:p>
    <w:p>
      <w:pPr>
        <w:spacing w:beforeLines="0" w:afterLines="0" w:line="580" w:lineRule="exact"/>
        <w:jc w:val="center"/>
        <w:rPr>
          <w:rFonts w:hint="default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山东省人力资源和社会保障厅</w:t>
      </w:r>
    </w:p>
    <w:p>
      <w:pPr>
        <w:spacing w:beforeLines="0" w:afterLines="0" w:line="58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关于开展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zh-CN"/>
        </w:rPr>
        <w:t>就业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环境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zh-CN"/>
        </w:rPr>
        <w:t>友好型城市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建设工作的通知</w:t>
      </w:r>
    </w:p>
    <w:p>
      <w:pPr>
        <w:spacing w:beforeLines="0" w:afterLines="0" w:line="580" w:lineRule="exact"/>
        <w:jc w:val="center"/>
        <w:rPr>
          <w:rFonts w:hint="eastAsia" w:ascii="仿宋_GB2312" w:eastAsia="仿宋_GB2312"/>
          <w:color w:val="auto"/>
          <w:szCs w:val="32"/>
        </w:rPr>
      </w:pPr>
    </w:p>
    <w:p>
      <w:pPr>
        <w:spacing w:beforeLines="0" w:afterLines="0" w:line="580" w:lineRule="exact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各市人力资源社会保障局：</w:t>
      </w:r>
      <w:bookmarkStart w:id="0" w:name="_GoBack"/>
      <w:bookmarkEnd w:id="0"/>
    </w:p>
    <w:p>
      <w:pPr>
        <w:spacing w:beforeLines="0" w:afterLines="0" w:line="580" w:lineRule="exact"/>
        <w:ind w:firstLine="632" w:firstLineChars="200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为贯彻落实党中央、国务院稳定和扩大就业的决策部署，根据《山东省人民政府办公厅关于印发“十大创新”“十强产业”“十大扩需求”2022年行动计划的通知》（鲁政办字〔2022〕28号）要求，决定在全省开展</w:t>
      </w:r>
      <w:r>
        <w:rPr>
          <w:rFonts w:hint="eastAsia" w:ascii="仿宋_GB2312" w:hAnsi="仿宋_GB2312" w:eastAsia="仿宋_GB2312" w:cs="仿宋_GB2312"/>
          <w:color w:val="auto"/>
          <w:szCs w:val="32"/>
          <w:lang w:val="zh-CN"/>
        </w:rPr>
        <w:t>就业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Cs w:val="32"/>
        </w:rPr>
        <w:t>环境</w:t>
      </w:r>
      <w:r>
        <w:rPr>
          <w:rFonts w:hint="eastAsia" w:ascii="仿宋_GB2312" w:hAnsi="仿宋_GB2312" w:eastAsia="仿宋_GB2312" w:cs="仿宋_GB2312"/>
          <w:color w:val="auto"/>
          <w:szCs w:val="32"/>
          <w:lang w:val="zh-CN"/>
        </w:rPr>
        <w:t>友好型城市建设工作</w:t>
      </w:r>
      <w:r>
        <w:rPr>
          <w:rFonts w:hint="eastAsia" w:ascii="仿宋_GB2312" w:hAnsi="仿宋_GB2312" w:eastAsia="仿宋_GB2312" w:cs="仿宋_GB2312"/>
          <w:color w:val="auto"/>
          <w:szCs w:val="32"/>
        </w:rPr>
        <w:t>，推进更加充分更高质量就业省份建设。现将有关事项通知如下：</w:t>
      </w:r>
    </w:p>
    <w:p>
      <w:pPr>
        <w:spacing w:beforeLines="0" w:afterLines="0" w:line="580" w:lineRule="exact"/>
        <w:ind w:firstLine="632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一、建设思路</w:t>
      </w:r>
    </w:p>
    <w:p>
      <w:pPr>
        <w:spacing w:beforeLines="0" w:afterLines="0" w:line="58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以习近平新时代中国特色社会主义思想为指导，全面落实习近平总书记对山东工作的重要指示要求，完整准确全面贯彻新发展理念，锚定“走在前、开新局”，强化落实就业优先战略，广泛开展就业环境友好型城市建设，发挥示范引领作用，推进打造省内一流、国内领先的就业生态，持续提升劳动者对就业工作的获得感、幸福感、安全感，让劳动者就业创业有机会、职业发展有平台、就业权益有保障，推进实现更加充分更高质量就业。</w:t>
      </w:r>
    </w:p>
    <w:p>
      <w:pPr>
        <w:spacing w:beforeLines="0" w:afterLines="0" w:line="580" w:lineRule="exact"/>
        <w:ind w:firstLine="632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二、建设内容</w:t>
      </w:r>
    </w:p>
    <w:p>
      <w:pPr>
        <w:spacing w:beforeLines="0" w:afterLines="0" w:line="580" w:lineRule="exact"/>
        <w:ind w:firstLine="632" w:firstLineChars="200"/>
        <w:rPr>
          <w:rFonts w:ascii="仿宋_GB2312" w:eastAsia="仿宋_GB2312"/>
          <w:color w:val="auto"/>
          <w:szCs w:val="32"/>
          <w:lang w:val="zh-CN"/>
        </w:rPr>
      </w:pPr>
      <w:r>
        <w:rPr>
          <w:rFonts w:hint="eastAsia" w:ascii="仿宋_GB2312" w:eastAsia="仿宋_GB2312"/>
          <w:color w:val="auto"/>
          <w:szCs w:val="32"/>
          <w:lang w:val="zh-CN"/>
        </w:rPr>
        <w:t>就业</w:t>
      </w:r>
      <w:r>
        <w:rPr>
          <w:rFonts w:hint="eastAsia" w:ascii="仿宋_GB2312" w:eastAsia="仿宋_GB2312"/>
          <w:color w:val="auto"/>
          <w:szCs w:val="32"/>
        </w:rPr>
        <w:t>环境</w:t>
      </w:r>
      <w:r>
        <w:rPr>
          <w:rFonts w:hint="eastAsia" w:ascii="仿宋_GB2312" w:eastAsia="仿宋_GB2312"/>
          <w:color w:val="auto"/>
          <w:szCs w:val="32"/>
          <w:lang w:val="zh-CN"/>
        </w:rPr>
        <w:t>友好型城市建</w:t>
      </w:r>
      <w:r>
        <w:rPr>
          <w:rFonts w:hint="eastAsia" w:ascii="仿宋_GB2312" w:eastAsia="仿宋_GB2312"/>
          <w:color w:val="auto"/>
          <w:szCs w:val="32"/>
        </w:rPr>
        <w:t>设</w:t>
      </w:r>
      <w:r>
        <w:rPr>
          <w:rFonts w:hint="eastAsia" w:ascii="仿宋_GB2312" w:eastAsia="仿宋_GB2312"/>
          <w:color w:val="auto"/>
          <w:szCs w:val="32"/>
          <w:lang w:val="zh-CN"/>
        </w:rPr>
        <w:t>紧密围绕山东省“十四五”促进就业规划，聚焦</w:t>
      </w:r>
      <w:r>
        <w:rPr>
          <w:rFonts w:hint="eastAsia" w:ascii="仿宋_GB2312" w:eastAsia="仿宋_GB2312"/>
          <w:color w:val="auto"/>
          <w:szCs w:val="32"/>
        </w:rPr>
        <w:t>就业法治环境、就业政策环境</w:t>
      </w:r>
      <w:r>
        <w:rPr>
          <w:rFonts w:hint="eastAsia" w:ascii="仿宋_GB2312" w:eastAsia="仿宋_GB2312"/>
          <w:color w:val="auto"/>
          <w:szCs w:val="32"/>
          <w:lang w:val="zh-CN"/>
        </w:rPr>
        <w:t>、</w:t>
      </w:r>
      <w:r>
        <w:rPr>
          <w:rFonts w:hint="eastAsia" w:ascii="仿宋_GB2312" w:eastAsia="仿宋_GB2312"/>
          <w:color w:val="auto"/>
          <w:szCs w:val="32"/>
        </w:rPr>
        <w:t>就业市场环境、就业服务环境、就业文化环境</w:t>
      </w:r>
      <w:r>
        <w:rPr>
          <w:rFonts w:hint="eastAsia" w:ascii="仿宋_GB2312" w:eastAsia="仿宋_GB2312"/>
          <w:color w:val="auto"/>
          <w:szCs w:val="32"/>
          <w:lang w:val="zh-CN"/>
        </w:rPr>
        <w:t>方面，</w:t>
      </w:r>
      <w:r>
        <w:rPr>
          <w:rFonts w:hint="eastAsia" w:ascii="仿宋_GB2312" w:eastAsia="仿宋_GB2312"/>
          <w:color w:val="auto"/>
          <w:szCs w:val="32"/>
        </w:rPr>
        <w:t>健全完善有利于更加充分更高质量就业的促进机制</w:t>
      </w:r>
      <w:r>
        <w:rPr>
          <w:rFonts w:hint="eastAsia" w:ascii="仿宋_GB2312" w:eastAsia="仿宋_GB2312"/>
          <w:color w:val="auto"/>
          <w:szCs w:val="32"/>
          <w:lang w:val="zh-CN"/>
        </w:rPr>
        <w:t>。</w:t>
      </w:r>
    </w:p>
    <w:p>
      <w:pPr>
        <w:spacing w:beforeLines="0" w:afterLines="0" w:line="580" w:lineRule="exact"/>
        <w:ind w:firstLine="632" w:firstLineChars="200"/>
        <w:rPr>
          <w:rFonts w:ascii="仿宋_GB2312" w:eastAsia="仿宋_GB2312"/>
          <w:color w:val="auto"/>
          <w:szCs w:val="32"/>
          <w:lang w:val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（一）就业法治环境。</w:t>
      </w:r>
      <w:r>
        <w:rPr>
          <w:rFonts w:hint="eastAsia" w:ascii="仿宋_GB2312" w:eastAsia="仿宋_GB2312"/>
          <w:color w:val="auto"/>
          <w:szCs w:val="32"/>
        </w:rPr>
        <w:t>积极打造公平公正的就业法治环境，全面落实《就业促进法》《山东省就业促进条例》等法律法规，营造公平就业制度环境，消除性别、户籍等影响平等就业的不合理限制或就业歧视。</w:t>
      </w:r>
    </w:p>
    <w:p>
      <w:pPr>
        <w:spacing w:beforeLines="0" w:afterLines="0" w:line="58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zh-CN"/>
        </w:rPr>
        <w:t>（</w:t>
      </w:r>
      <w:r>
        <w:rPr>
          <w:rFonts w:hint="eastAsia" w:ascii="楷体_GB2312" w:hAnsi="楷体_GB2312" w:eastAsia="楷体_GB2312" w:cs="楷体_GB2312"/>
          <w:color w:val="auto"/>
          <w:szCs w:val="32"/>
        </w:rPr>
        <w:t>二）就业政策环境。</w:t>
      </w:r>
      <w:r>
        <w:rPr>
          <w:rFonts w:hint="eastAsia" w:ascii="仿宋_GB2312" w:eastAsia="仿宋_GB2312"/>
          <w:color w:val="auto"/>
          <w:szCs w:val="32"/>
        </w:rPr>
        <w:t>积极打造宜业乐业的政策环境，推动财政、金融、投资、消费、产业等经济政策和人口、教育等社会政策聚力支持就业，加大对企业和劳动者就业的政策扶持力度，形成普惠共享的就业政策体系。</w:t>
      </w:r>
    </w:p>
    <w:p>
      <w:pPr>
        <w:spacing w:beforeLines="0" w:afterLines="0" w:line="58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zh-CN"/>
        </w:rPr>
        <w:t>（</w:t>
      </w:r>
      <w:r>
        <w:rPr>
          <w:rFonts w:hint="eastAsia" w:ascii="楷体_GB2312" w:hAnsi="楷体_GB2312" w:eastAsia="楷体_GB2312" w:cs="楷体_GB2312"/>
          <w:color w:val="auto"/>
          <w:szCs w:val="32"/>
        </w:rPr>
        <w:t>三）就业市场环境。</w:t>
      </w:r>
      <w:r>
        <w:rPr>
          <w:rFonts w:hint="eastAsia" w:ascii="仿宋_GB2312" w:eastAsia="仿宋_GB2312"/>
          <w:color w:val="auto"/>
          <w:szCs w:val="32"/>
        </w:rPr>
        <w:t>积极打造健康优质的市场就业环境，人力资源市场标准化规范化建设持续推进,逐步建立政府宏观调控、市场公平竞争、单位自主用人、个人自主择业、机构诚信服务的就业市场发展新格局,人力资源实现高效配置。</w:t>
      </w:r>
    </w:p>
    <w:p>
      <w:pPr>
        <w:spacing w:beforeLines="0" w:afterLines="0" w:line="58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（四）就业服务环境。</w:t>
      </w:r>
      <w:r>
        <w:rPr>
          <w:rFonts w:hint="eastAsia" w:ascii="仿宋_GB2312" w:eastAsia="仿宋_GB2312"/>
          <w:color w:val="auto"/>
          <w:szCs w:val="32"/>
        </w:rPr>
        <w:t>积极打造便捷高效的就业服务环境，健全完善公共就业服务体系，改革创新公共就业服务制度，广泛开展公共就业服务活动，不断充实公共就业服务力量，全面提升公共就业服务质量，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打造“就好办”公共就业服务品牌。</w:t>
      </w:r>
    </w:p>
    <w:p>
      <w:pPr>
        <w:spacing w:beforeLines="0" w:afterLines="0" w:line="58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zh-CN"/>
        </w:rPr>
        <w:t>（</w:t>
      </w:r>
      <w:r>
        <w:rPr>
          <w:rFonts w:hint="eastAsia" w:ascii="楷体_GB2312" w:hAnsi="楷体_GB2312" w:eastAsia="楷体_GB2312" w:cs="楷体_GB2312"/>
          <w:color w:val="auto"/>
          <w:szCs w:val="32"/>
        </w:rPr>
        <w:t>五）就业文化环境。</w:t>
      </w:r>
      <w:r>
        <w:rPr>
          <w:rFonts w:hint="eastAsia" w:ascii="仿宋_GB2312" w:eastAsia="仿宋_GB2312"/>
          <w:color w:val="auto"/>
          <w:szCs w:val="32"/>
        </w:rPr>
        <w:t>积极打造积极向上的就业文化环境，弘扬劳模精神、劳动精神、工匠精神和“双创”精神，选树一批“最美基层高校毕业生”</w:t>
      </w:r>
      <w:r>
        <w:rPr>
          <w:rFonts w:hint="eastAsia" w:ascii="仿宋_GB2312" w:hAnsi="Times New Roman" w:eastAsia="仿宋_GB2312"/>
          <w:color w:val="auto"/>
          <w:szCs w:val="32"/>
        </w:rPr>
        <w:t>“十大返乡创业农民工”</w:t>
      </w:r>
      <w:r>
        <w:rPr>
          <w:rFonts w:hint="eastAsia" w:ascii="仿宋_GB2312" w:eastAsia="仿宋_GB2312"/>
          <w:color w:val="auto"/>
          <w:szCs w:val="32"/>
        </w:rPr>
        <w:t>等基层就业、返乡</w:t>
      </w:r>
      <w:r>
        <w:rPr>
          <w:rFonts w:hint="eastAsia" w:ascii="仿宋_GB2312" w:eastAsia="仿宋_GB2312"/>
          <w:color w:val="auto"/>
          <w:szCs w:val="32"/>
          <w:lang w:eastAsia="zh-CN"/>
        </w:rPr>
        <w:t>入</w:t>
      </w:r>
      <w:r>
        <w:rPr>
          <w:rFonts w:hint="eastAsia" w:ascii="仿宋_GB2312" w:eastAsia="仿宋_GB2312"/>
          <w:color w:val="auto"/>
          <w:szCs w:val="32"/>
        </w:rPr>
        <w:t>乡就业创业等典型，打造“创业齐鲁</w:t>
      </w:r>
      <w:r>
        <w:rPr>
          <w:rFonts w:hint="eastAsia" w:ascii="楷体_GB2312" w:hAnsi="Times New Roman" w:eastAsia="楷体_GB2312" w:cs="楷体_GB2312"/>
          <w:color w:val="auto"/>
          <w:kern w:val="2"/>
          <w:sz w:val="32"/>
          <w:szCs w:val="32"/>
          <w:lang w:val="en-US" w:eastAsia="zh-CN" w:bidi="ar"/>
        </w:rPr>
        <w:t>·</w:t>
      </w:r>
      <w:r>
        <w:rPr>
          <w:rFonts w:hint="eastAsia" w:ascii="仿宋_GB2312" w:eastAsia="仿宋_GB2312"/>
          <w:color w:val="auto"/>
          <w:szCs w:val="32"/>
        </w:rPr>
        <w:t>乐业山东”品牌。</w:t>
      </w:r>
    </w:p>
    <w:p>
      <w:pPr>
        <w:spacing w:beforeLines="0" w:afterLines="0" w:line="58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就业环境友好型城市建设指标参考体系见附件1。</w:t>
      </w:r>
    </w:p>
    <w:p>
      <w:pPr>
        <w:spacing w:beforeLines="0" w:afterLines="0" w:line="580" w:lineRule="exact"/>
        <w:ind w:firstLine="632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三、建设步骤</w:t>
      </w:r>
    </w:p>
    <w:p>
      <w:pPr>
        <w:spacing w:beforeLines="0" w:afterLines="0" w:line="580" w:lineRule="exact"/>
        <w:ind w:firstLine="632" w:firstLineChars="200"/>
        <w:rPr>
          <w:rFonts w:ascii="仿宋_GB2312" w:eastAsia="仿宋_GB2312"/>
          <w:color w:val="auto"/>
          <w:szCs w:val="32"/>
          <w:lang w:val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zCs w:val="32"/>
        </w:rPr>
        <w:t>申请申报。</w:t>
      </w:r>
      <w:r>
        <w:rPr>
          <w:rFonts w:hint="eastAsia" w:ascii="仿宋_GB2312" w:eastAsia="仿宋_GB2312"/>
          <w:color w:val="auto"/>
          <w:szCs w:val="32"/>
          <w:lang w:val="zh-CN"/>
        </w:rPr>
        <w:t>市级人力资源社会保障部门负责本地就业</w:t>
      </w:r>
      <w:r>
        <w:rPr>
          <w:rFonts w:hint="default" w:ascii="仿宋_GB2312" w:eastAsia="仿宋_GB2312"/>
          <w:color w:val="auto"/>
          <w:szCs w:val="32"/>
        </w:rPr>
        <w:t>环境</w:t>
      </w:r>
      <w:r>
        <w:rPr>
          <w:rFonts w:hint="eastAsia" w:ascii="仿宋_GB2312" w:eastAsia="仿宋_GB2312"/>
          <w:color w:val="auto"/>
          <w:szCs w:val="32"/>
          <w:lang w:val="zh-CN"/>
        </w:rPr>
        <w:t>友好型城市建设的统筹谋划、统一推进、组织申报，推荐遴选</w:t>
      </w:r>
      <w:r>
        <w:rPr>
          <w:rFonts w:hint="eastAsia" w:ascii="仿宋_GB2312" w:eastAsia="仿宋_GB2312"/>
          <w:color w:val="auto"/>
          <w:szCs w:val="32"/>
        </w:rPr>
        <w:t>有基础、有条件、有意愿的</w:t>
      </w:r>
      <w:r>
        <w:rPr>
          <w:rFonts w:hint="eastAsia" w:ascii="仿宋_GB2312" w:eastAsia="仿宋_GB2312"/>
          <w:color w:val="auto"/>
          <w:szCs w:val="32"/>
          <w:lang w:val="zh-CN"/>
        </w:rPr>
        <w:t>县（市、区，含开发区、高新区等）进行申报。每个市推荐</w:t>
      </w:r>
      <w:r>
        <w:rPr>
          <w:rFonts w:hint="eastAsia" w:ascii="仿宋_GB2312" w:eastAsia="仿宋_GB2312"/>
          <w:color w:val="auto"/>
          <w:szCs w:val="32"/>
        </w:rPr>
        <w:t>1-2个县（市、区）。</w:t>
      </w:r>
    </w:p>
    <w:p>
      <w:pPr>
        <w:spacing w:beforeLines="0" w:afterLines="0" w:line="580" w:lineRule="exact"/>
        <w:ind w:firstLine="632" w:firstLineChars="200"/>
        <w:rPr>
          <w:rFonts w:ascii="仿宋_GB2312" w:eastAsia="仿宋_GB2312"/>
          <w:color w:val="auto"/>
          <w:szCs w:val="32"/>
          <w:lang w:val="zh-CN"/>
        </w:rPr>
      </w:pPr>
      <w:r>
        <w:rPr>
          <w:rFonts w:hint="eastAsia" w:ascii="仿宋_GB2312" w:eastAsia="仿宋_GB2312"/>
          <w:color w:val="auto"/>
          <w:szCs w:val="32"/>
        </w:rPr>
        <w:t>被推荐的县（市、区）须结合各自实际，编制建设方案</w:t>
      </w:r>
      <w:r>
        <w:rPr>
          <w:rFonts w:hint="default" w:ascii="仿宋_GB2312" w:eastAsia="仿宋_GB2312"/>
          <w:color w:val="auto"/>
          <w:szCs w:val="32"/>
        </w:rPr>
        <w:t>。各市人力资源社会保障局</w:t>
      </w:r>
      <w:r>
        <w:rPr>
          <w:rFonts w:hint="eastAsia" w:ascii="仿宋_GB2312" w:eastAsia="仿宋_GB2312"/>
          <w:color w:val="auto"/>
          <w:szCs w:val="32"/>
        </w:rPr>
        <w:t>于</w:t>
      </w:r>
      <w:r>
        <w:rPr>
          <w:rFonts w:hint="eastAsia" w:ascii="仿宋_GB2312" w:eastAsia="仿宋_GB2312"/>
          <w:color w:val="auto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Cs w:val="32"/>
          <w:lang w:val="zh-CN"/>
        </w:rPr>
        <w:t>月</w:t>
      </w:r>
      <w:r>
        <w:rPr>
          <w:rFonts w:hint="default" w:ascii="仿宋_GB2312" w:eastAsia="仿宋_GB2312"/>
          <w:color w:val="auto"/>
          <w:szCs w:val="32"/>
        </w:rPr>
        <w:t>20</w:t>
      </w:r>
      <w:r>
        <w:rPr>
          <w:rFonts w:hint="eastAsia" w:ascii="仿宋_GB2312" w:eastAsia="仿宋_GB2312"/>
          <w:color w:val="auto"/>
          <w:szCs w:val="32"/>
          <w:lang w:val="zh-CN"/>
        </w:rPr>
        <w:t>日前以正式文件形式向省人力资源社会保障厅报送申报材料，包括推荐</w:t>
      </w:r>
      <w:r>
        <w:rPr>
          <w:rFonts w:hint="eastAsia" w:ascii="仿宋_GB2312" w:eastAsia="仿宋_GB2312"/>
          <w:color w:val="auto"/>
          <w:szCs w:val="32"/>
        </w:rPr>
        <w:t>申报申请和建设</w:t>
      </w:r>
      <w:r>
        <w:rPr>
          <w:rFonts w:hint="eastAsia" w:ascii="仿宋_GB2312" w:eastAsia="仿宋_GB2312"/>
          <w:color w:val="auto"/>
          <w:szCs w:val="32"/>
          <w:lang w:val="zh-CN"/>
        </w:rPr>
        <w:t>方案，逾期申报视为无效。</w:t>
      </w:r>
    </w:p>
    <w:p>
      <w:pPr>
        <w:spacing w:beforeLines="0" w:afterLines="0" w:line="58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zh-CN"/>
        </w:rPr>
        <w:t>（</w:t>
      </w:r>
      <w:r>
        <w:rPr>
          <w:rFonts w:hint="eastAsia" w:ascii="楷体_GB2312" w:hAnsi="楷体_GB2312" w:eastAsia="楷体_GB2312" w:cs="楷体_GB2312"/>
          <w:color w:val="auto"/>
          <w:szCs w:val="32"/>
        </w:rPr>
        <w:t>二）组织评审。</w:t>
      </w:r>
      <w:r>
        <w:rPr>
          <w:rFonts w:hint="eastAsia" w:ascii="仿宋_GB2312" w:eastAsia="仿宋_GB2312"/>
          <w:color w:val="auto"/>
          <w:szCs w:val="32"/>
          <w:lang w:val="zh-CN"/>
        </w:rPr>
        <w:t>省人力资源社会保障厅</w:t>
      </w:r>
      <w:r>
        <w:rPr>
          <w:rFonts w:hint="eastAsia" w:ascii="仿宋_GB2312" w:eastAsia="仿宋_GB2312"/>
          <w:color w:val="auto"/>
          <w:szCs w:val="32"/>
        </w:rPr>
        <w:t>组织有关专家</w:t>
      </w:r>
      <w:r>
        <w:rPr>
          <w:rFonts w:hint="eastAsia" w:ascii="仿宋_GB2312" w:eastAsia="仿宋_GB2312"/>
          <w:color w:val="auto"/>
          <w:szCs w:val="32"/>
          <w:lang w:val="zh-CN"/>
        </w:rPr>
        <w:t>对各市申报的城市开展竞争性评审，按照定量与定性相结合的原则，择优选树20个左右就业人口数量较多、工作基础扎实、思路创新有效、改革积极性高、引领作用强的县级城市，作为</w:t>
      </w:r>
      <w:r>
        <w:rPr>
          <w:rFonts w:hint="eastAsia" w:ascii="仿宋_GB2312" w:eastAsia="仿宋_GB2312"/>
          <w:color w:val="auto"/>
          <w:szCs w:val="32"/>
        </w:rPr>
        <w:t>山东</w:t>
      </w:r>
      <w:r>
        <w:rPr>
          <w:rFonts w:hint="eastAsia" w:ascii="仿宋_GB2312" w:eastAsia="仿宋_GB2312"/>
          <w:color w:val="auto"/>
          <w:szCs w:val="32"/>
          <w:lang w:val="zh-CN"/>
        </w:rPr>
        <w:t>省“就业</w:t>
      </w:r>
      <w:r>
        <w:rPr>
          <w:rFonts w:hint="eastAsia" w:ascii="仿宋_GB2312" w:eastAsia="仿宋_GB2312"/>
          <w:color w:val="auto"/>
          <w:szCs w:val="32"/>
        </w:rPr>
        <w:t>环境</w:t>
      </w:r>
      <w:r>
        <w:rPr>
          <w:rFonts w:hint="eastAsia" w:ascii="仿宋_GB2312" w:eastAsia="仿宋_GB2312"/>
          <w:color w:val="auto"/>
          <w:szCs w:val="32"/>
          <w:lang w:val="zh-CN"/>
        </w:rPr>
        <w:t>友好型城市”</w:t>
      </w:r>
      <w:r>
        <w:rPr>
          <w:rFonts w:hint="eastAsia" w:ascii="仿宋_GB2312" w:eastAsia="仿宋_GB2312"/>
          <w:color w:val="auto"/>
          <w:szCs w:val="32"/>
        </w:rPr>
        <w:t>建设单位</w:t>
      </w:r>
      <w:r>
        <w:rPr>
          <w:rFonts w:hint="eastAsia" w:ascii="仿宋_GB2312" w:eastAsia="仿宋_GB2312"/>
          <w:color w:val="auto"/>
          <w:szCs w:val="32"/>
          <w:lang w:val="zh-CN"/>
        </w:rPr>
        <w:t>。</w:t>
      </w:r>
    </w:p>
    <w:p>
      <w:pPr>
        <w:spacing w:beforeLines="0" w:afterLines="0" w:line="58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（三）公示发布。</w:t>
      </w:r>
      <w:r>
        <w:rPr>
          <w:rFonts w:hint="eastAsia" w:ascii="仿宋_GB2312" w:eastAsia="仿宋_GB2312"/>
          <w:color w:val="auto"/>
          <w:szCs w:val="32"/>
        </w:rPr>
        <w:t>经专家评审的城市，在省人力资源社会保障厅网站进行公示，公示无异议后，统一发布。</w:t>
      </w:r>
    </w:p>
    <w:p>
      <w:pPr>
        <w:spacing w:beforeLines="0" w:afterLines="0" w:line="58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（四）建设实施。</w:t>
      </w:r>
      <w:r>
        <w:rPr>
          <w:rFonts w:hint="eastAsia" w:ascii="仿宋_GB2312" w:eastAsia="仿宋_GB2312"/>
          <w:color w:val="auto"/>
          <w:szCs w:val="32"/>
        </w:rPr>
        <w:t>2022年10月—20</w:t>
      </w:r>
      <w:r>
        <w:rPr>
          <w:rFonts w:hint="eastAsia" w:ascii="仿宋_GB2312" w:eastAsia="仿宋_GB2312"/>
          <w:color w:val="auto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Cs w:val="32"/>
        </w:rPr>
        <w:t>5年10月，</w:t>
      </w:r>
      <w:r>
        <w:rPr>
          <w:rFonts w:hint="eastAsia" w:ascii="仿宋_GB2312" w:eastAsia="仿宋_GB2312"/>
          <w:color w:val="auto"/>
          <w:szCs w:val="32"/>
          <w:lang w:val="zh-CN"/>
        </w:rPr>
        <w:t>“就业</w:t>
      </w:r>
      <w:r>
        <w:rPr>
          <w:rFonts w:hint="eastAsia" w:ascii="仿宋_GB2312" w:eastAsia="仿宋_GB2312"/>
          <w:color w:val="auto"/>
          <w:szCs w:val="32"/>
        </w:rPr>
        <w:t>环境</w:t>
      </w:r>
      <w:r>
        <w:rPr>
          <w:rFonts w:hint="eastAsia" w:ascii="仿宋_GB2312" w:eastAsia="仿宋_GB2312"/>
          <w:color w:val="auto"/>
          <w:szCs w:val="32"/>
          <w:lang w:val="zh-CN"/>
        </w:rPr>
        <w:t>友好型城市”</w:t>
      </w:r>
      <w:r>
        <w:rPr>
          <w:rFonts w:hint="eastAsia" w:ascii="仿宋_GB2312" w:eastAsia="仿宋_GB2312"/>
          <w:color w:val="auto"/>
          <w:szCs w:val="32"/>
        </w:rPr>
        <w:t>建设单位按照建设方案，组织开展建设工作。</w:t>
      </w:r>
      <w:r>
        <w:rPr>
          <w:rFonts w:hint="eastAsia" w:ascii="仿宋_GB2312" w:eastAsia="仿宋_GB2312"/>
          <w:color w:val="auto"/>
          <w:szCs w:val="32"/>
          <w:lang w:val="zh-CN"/>
        </w:rPr>
        <w:t>省人力资源社会保障厅将实施全过程的技术指导和执行监督，组织开展绩效评价。</w:t>
      </w:r>
    </w:p>
    <w:p>
      <w:pPr>
        <w:spacing w:beforeLines="0" w:afterLines="0" w:line="58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（五）评估验收。</w:t>
      </w:r>
      <w:r>
        <w:rPr>
          <w:rFonts w:hint="eastAsia" w:ascii="仿宋_GB2312" w:eastAsia="仿宋_GB2312"/>
          <w:color w:val="auto"/>
          <w:szCs w:val="32"/>
        </w:rPr>
        <w:t>2025年底前，</w:t>
      </w:r>
      <w:r>
        <w:rPr>
          <w:rFonts w:hint="eastAsia" w:ascii="仿宋_GB2312" w:eastAsia="仿宋_GB2312"/>
          <w:color w:val="auto"/>
          <w:szCs w:val="32"/>
          <w:lang w:val="zh-CN"/>
        </w:rPr>
        <w:t>省人力资源社会保障厅</w:t>
      </w:r>
      <w:r>
        <w:rPr>
          <w:rFonts w:hint="eastAsia" w:ascii="仿宋_GB2312" w:eastAsia="仿宋_GB2312"/>
          <w:color w:val="auto"/>
          <w:szCs w:val="32"/>
        </w:rPr>
        <w:t>组织对</w:t>
      </w:r>
      <w:r>
        <w:rPr>
          <w:rFonts w:hint="eastAsia" w:ascii="仿宋_GB2312" w:eastAsia="仿宋_GB2312"/>
          <w:color w:val="auto"/>
          <w:szCs w:val="32"/>
          <w:lang w:val="zh-CN"/>
        </w:rPr>
        <w:t>“就业</w:t>
      </w:r>
      <w:r>
        <w:rPr>
          <w:rFonts w:hint="eastAsia" w:ascii="仿宋_GB2312" w:eastAsia="仿宋_GB2312"/>
          <w:color w:val="auto"/>
          <w:szCs w:val="32"/>
        </w:rPr>
        <w:t>环境</w:t>
      </w:r>
      <w:r>
        <w:rPr>
          <w:rFonts w:hint="eastAsia" w:ascii="仿宋_GB2312" w:eastAsia="仿宋_GB2312"/>
          <w:color w:val="auto"/>
          <w:szCs w:val="32"/>
          <w:lang w:val="zh-CN"/>
        </w:rPr>
        <w:t>友好型城市”</w:t>
      </w:r>
      <w:r>
        <w:rPr>
          <w:rFonts w:hint="eastAsia" w:ascii="仿宋_GB2312" w:eastAsia="仿宋_GB2312"/>
          <w:color w:val="auto"/>
          <w:szCs w:val="32"/>
        </w:rPr>
        <w:t>建设单位进行验收。</w:t>
      </w:r>
    </w:p>
    <w:p>
      <w:pPr>
        <w:spacing w:beforeLines="0" w:afterLines="0" w:line="580" w:lineRule="exact"/>
        <w:ind w:firstLine="632" w:firstLineChars="200"/>
        <w:rPr>
          <w:rFonts w:ascii="黑体" w:hAnsi="黑体" w:eastAsia="黑体" w:cs="黑体"/>
          <w:b w:val="0"/>
          <w:bCs w:val="0"/>
          <w:color w:val="auto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32"/>
        </w:rPr>
        <w:t>四、建设要求</w:t>
      </w:r>
    </w:p>
    <w:p>
      <w:pPr>
        <w:spacing w:beforeLines="0" w:afterLines="0" w:line="580" w:lineRule="exact"/>
        <w:ind w:firstLine="632" w:firstLineChars="200"/>
        <w:rPr>
          <w:rFonts w:ascii="仿宋_GB2312" w:eastAsia="仿宋_GB2312"/>
          <w:color w:val="auto"/>
          <w:szCs w:val="32"/>
          <w:lang w:val="zh-CN"/>
        </w:rPr>
      </w:pPr>
      <w:r>
        <w:rPr>
          <w:rFonts w:hint="eastAsia" w:ascii="仿宋_GB2312" w:eastAsia="仿宋_GB2312"/>
          <w:color w:val="auto"/>
          <w:szCs w:val="32"/>
          <w:lang w:val="zh-CN"/>
        </w:rPr>
        <w:t>各市要高度重视，认真组织</w:t>
      </w:r>
      <w:r>
        <w:rPr>
          <w:rFonts w:hint="eastAsia" w:ascii="仿宋_GB2312" w:eastAsia="仿宋_GB2312"/>
          <w:color w:val="auto"/>
          <w:szCs w:val="32"/>
        </w:rPr>
        <w:t>建设单位</w:t>
      </w:r>
      <w:r>
        <w:rPr>
          <w:rFonts w:hint="eastAsia" w:ascii="仿宋_GB2312" w:eastAsia="仿宋_GB2312"/>
          <w:color w:val="auto"/>
          <w:szCs w:val="32"/>
          <w:lang w:val="zh-CN"/>
        </w:rPr>
        <w:t>申报</w:t>
      </w:r>
      <w:r>
        <w:rPr>
          <w:rFonts w:hint="eastAsia" w:ascii="仿宋_GB2312" w:eastAsia="仿宋_GB2312"/>
          <w:color w:val="auto"/>
          <w:szCs w:val="32"/>
        </w:rPr>
        <w:t>工作</w:t>
      </w:r>
      <w:r>
        <w:rPr>
          <w:rFonts w:hint="eastAsia" w:ascii="仿宋_GB2312" w:eastAsia="仿宋_GB2312"/>
          <w:color w:val="auto"/>
          <w:szCs w:val="32"/>
          <w:lang w:val="zh-CN"/>
        </w:rPr>
        <w:t>，做好</w:t>
      </w:r>
      <w:r>
        <w:rPr>
          <w:rFonts w:hint="eastAsia" w:ascii="仿宋_GB2312" w:eastAsia="仿宋_GB2312"/>
          <w:color w:val="auto"/>
          <w:szCs w:val="32"/>
        </w:rPr>
        <w:t>建设</w:t>
      </w:r>
      <w:r>
        <w:rPr>
          <w:rFonts w:hint="eastAsia" w:ascii="仿宋_GB2312" w:eastAsia="仿宋_GB2312"/>
          <w:color w:val="auto"/>
          <w:szCs w:val="32"/>
          <w:lang w:val="zh-CN"/>
        </w:rPr>
        <w:t>方案的编制、统筹协调和组织实施，要对实施的必要性、实施条件、建设内容等进行认真审查、严格把关，并对审查结果负责。申报项目的</w:t>
      </w:r>
      <w:r>
        <w:rPr>
          <w:rFonts w:hint="eastAsia" w:ascii="仿宋_GB2312" w:eastAsia="仿宋_GB2312"/>
          <w:color w:val="auto"/>
          <w:szCs w:val="32"/>
        </w:rPr>
        <w:t>单位</w:t>
      </w:r>
      <w:r>
        <w:rPr>
          <w:rFonts w:hint="eastAsia" w:ascii="仿宋_GB2312" w:eastAsia="仿宋_GB2312"/>
          <w:color w:val="auto"/>
          <w:szCs w:val="32"/>
          <w:lang w:val="zh-CN"/>
        </w:rPr>
        <w:t>要对申报材料的真实性、合规性、准确性负责，确保符合要求。对实施效果好、经验典型、示范性强的地区进行经验宣传和推广，将就业</w:t>
      </w:r>
      <w:r>
        <w:rPr>
          <w:rFonts w:hint="eastAsia" w:ascii="仿宋_GB2312" w:eastAsia="仿宋_GB2312"/>
          <w:color w:val="auto"/>
          <w:szCs w:val="32"/>
        </w:rPr>
        <w:t>环境</w:t>
      </w:r>
      <w:r>
        <w:rPr>
          <w:rFonts w:hint="eastAsia" w:ascii="仿宋_GB2312" w:eastAsia="仿宋_GB2312"/>
          <w:color w:val="auto"/>
          <w:szCs w:val="32"/>
          <w:lang w:val="zh-CN"/>
        </w:rPr>
        <w:t>友好型城市建设情况列入年度就业工作绩效评价。</w:t>
      </w:r>
    </w:p>
    <w:p>
      <w:pPr>
        <w:spacing w:beforeLines="0" w:afterLines="0" w:line="58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联 系 人：</w:t>
      </w:r>
      <w:r>
        <w:rPr>
          <w:rFonts w:hint="default" w:ascii="仿宋_GB2312" w:eastAsia="仿宋_GB2312"/>
          <w:color w:val="auto"/>
          <w:szCs w:val="32"/>
        </w:rPr>
        <w:t>顾巍、</w:t>
      </w:r>
      <w:r>
        <w:rPr>
          <w:rFonts w:hint="eastAsia" w:ascii="仿宋_GB2312" w:eastAsia="仿宋_GB2312"/>
          <w:color w:val="auto"/>
          <w:szCs w:val="32"/>
        </w:rPr>
        <w:t>周立柱</w:t>
      </w:r>
    </w:p>
    <w:p>
      <w:pPr>
        <w:spacing w:beforeLines="0" w:afterLines="0" w:line="58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联系电话：0531—</w:t>
      </w:r>
      <w:r>
        <w:rPr>
          <w:rFonts w:hint="default" w:ascii="仿宋_GB2312" w:eastAsia="仿宋_GB2312"/>
          <w:color w:val="auto"/>
          <w:szCs w:val="32"/>
        </w:rPr>
        <w:t>51788106、</w:t>
      </w:r>
      <w:r>
        <w:rPr>
          <w:rFonts w:hint="eastAsia" w:ascii="仿宋_GB2312" w:eastAsia="仿宋_GB2312"/>
          <w:color w:val="auto"/>
          <w:szCs w:val="32"/>
        </w:rPr>
        <w:t>51788116</w:t>
      </w:r>
    </w:p>
    <w:p>
      <w:pPr>
        <w:spacing w:beforeLines="0" w:afterLines="0" w:line="58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电子邮箱：gwrst@shandong.cn</w:t>
      </w:r>
    </w:p>
    <w:p>
      <w:pPr>
        <w:spacing w:beforeLines="0" w:afterLines="0" w:line="580" w:lineRule="exact"/>
        <w:ind w:firstLine="632" w:firstLineChars="200"/>
        <w:rPr>
          <w:rFonts w:ascii="仿宋_GB2312" w:eastAsia="仿宋_GB2312"/>
          <w:color w:val="auto"/>
          <w:szCs w:val="32"/>
        </w:rPr>
      </w:pPr>
    </w:p>
    <w:p>
      <w:pPr>
        <w:spacing w:beforeLines="0" w:afterLines="0" w:line="58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  <w:lang w:val="zh-CN"/>
        </w:rPr>
        <w:t>附件：</w:t>
      </w:r>
      <w:r>
        <w:rPr>
          <w:rFonts w:hint="eastAsia" w:ascii="仿宋_GB2312" w:eastAsia="仿宋_GB2312"/>
          <w:color w:val="auto"/>
          <w:szCs w:val="32"/>
        </w:rPr>
        <w:t>1.山东省就业环境友好型城市建设指标参考体系</w:t>
      </w:r>
    </w:p>
    <w:p>
      <w:pPr>
        <w:pStyle w:val="12"/>
        <w:spacing w:beforeLines="0" w:after="0" w:afterLines="0" w:line="580" w:lineRule="exact"/>
        <w:ind w:firstLine="632" w:firstLineChars="200"/>
        <w:jc w:val="center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仿宋_GB2312" w:hAnsi="Times New Roman" w:eastAsia="仿宋_GB2312" w:cs="Times New Roman"/>
          <w:color w:val="auto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山东省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/>
        </w:rPr>
        <w:t>“就业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环境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/>
        </w:rPr>
        <w:t>友好型城市”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申报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/>
        </w:rPr>
        <w:t>实施方案编制</w:t>
      </w:r>
    </w:p>
    <w:p>
      <w:pPr>
        <w:pStyle w:val="12"/>
        <w:spacing w:beforeLines="0" w:after="0" w:afterLines="0" w:line="580" w:lineRule="exact"/>
        <w:ind w:firstLine="632" w:firstLineChars="200"/>
        <w:jc w:val="both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参考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/>
        </w:rPr>
        <w:t>提纲</w:t>
      </w:r>
    </w:p>
    <w:p>
      <w:pPr>
        <w:spacing w:beforeLines="0" w:afterLines="0" w:line="580" w:lineRule="exact"/>
        <w:ind w:firstLine="632" w:firstLineChars="200"/>
        <w:rPr>
          <w:rFonts w:hint="default" w:ascii="仿宋_GB2312" w:eastAsia="仿宋_GB2312"/>
          <w:color w:val="auto"/>
          <w:szCs w:val="32"/>
        </w:rPr>
      </w:pPr>
      <w:r>
        <w:rPr>
          <w:rFonts w:ascii="仿宋_GB2312" w:eastAsia="仿宋_GB2312"/>
          <w:color w:val="auto"/>
          <w:szCs w:val="32"/>
        </w:rPr>
        <w:t xml:space="preserve">      3.</w:t>
      </w:r>
      <w:r>
        <w:rPr>
          <w:rFonts w:hint="eastAsia" w:ascii="仿宋_GB2312" w:eastAsia="仿宋_GB2312"/>
          <w:color w:val="auto"/>
          <w:szCs w:val="32"/>
        </w:rPr>
        <w:t>山东省“就业环境友好型城市”绩效目标表</w:t>
      </w:r>
    </w:p>
    <w:p>
      <w:pPr>
        <w:spacing w:beforeLines="0" w:afterLines="0" w:line="580" w:lineRule="exact"/>
        <w:ind w:firstLine="632" w:firstLineChars="200"/>
        <w:rPr>
          <w:rFonts w:ascii="仿宋_GB2312" w:eastAsia="仿宋_GB2312"/>
          <w:color w:val="auto"/>
          <w:szCs w:val="32"/>
          <w:lang w:val="zh-CN"/>
        </w:rPr>
      </w:pPr>
    </w:p>
    <w:p>
      <w:pPr>
        <w:pStyle w:val="2"/>
        <w:spacing w:beforeLines="0" w:after="0" w:afterLines="0" w:line="580" w:lineRule="exact"/>
        <w:rPr>
          <w:color w:val="auto"/>
          <w:lang w:val="zh-CN"/>
        </w:rPr>
      </w:pPr>
    </w:p>
    <w:p>
      <w:pPr>
        <w:spacing w:beforeLines="0" w:afterLines="0" w:line="580" w:lineRule="exact"/>
        <w:ind w:firstLine="632" w:firstLineChars="200"/>
        <w:jc w:val="right"/>
        <w:rPr>
          <w:rFonts w:ascii="仿宋_GB2312" w:eastAsia="仿宋_GB2312"/>
          <w:color w:val="auto"/>
          <w:szCs w:val="32"/>
          <w:lang w:val="zh-CN"/>
        </w:rPr>
      </w:pPr>
      <w:r>
        <w:rPr>
          <w:rFonts w:hint="eastAsia" w:ascii="仿宋_GB2312" w:eastAsia="仿宋_GB2312"/>
          <w:color w:val="auto"/>
          <w:szCs w:val="32"/>
          <w:lang w:val="zh-CN"/>
        </w:rPr>
        <w:t>山东省人力资源和社会保障厅</w:t>
      </w:r>
    </w:p>
    <w:p>
      <w:pPr>
        <w:spacing w:beforeLines="0" w:afterLines="0" w:line="580" w:lineRule="exact"/>
        <w:ind w:firstLine="632" w:firstLineChars="200"/>
        <w:jc w:val="center"/>
        <w:rPr>
          <w:rFonts w:hint="eastAsia"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color w:val="auto"/>
          <w:szCs w:val="32"/>
        </w:rPr>
        <w:t xml:space="preserve">     2022年</w:t>
      </w:r>
      <w:r>
        <w:rPr>
          <w:rFonts w:hint="eastAsia" w:ascii="仿宋_GB2312" w:eastAsia="仿宋_GB2312"/>
          <w:color w:val="auto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Cs w:val="32"/>
        </w:rPr>
        <w:t>月</w:t>
      </w:r>
      <w:r>
        <w:rPr>
          <w:rFonts w:hint="eastAsia" w:ascii="仿宋_GB2312" w:eastAsia="仿宋_GB2312"/>
          <w:color w:val="auto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Cs w:val="32"/>
        </w:rPr>
        <w:t>日</w:t>
      </w:r>
    </w:p>
    <w:p>
      <w:pPr>
        <w:pStyle w:val="2"/>
        <w:spacing w:beforeLines="0" w:after="0" w:afterLines="0" w:line="580" w:lineRule="exact"/>
        <w:ind w:left="0" w:leftChars="0" w:firstLine="0" w:firstLineChars="0"/>
        <w:rPr>
          <w:rFonts w:hint="default" w:hAnsi="仿宋_GB2312" w:cs="仿宋_GB2312"/>
          <w:color w:val="auto"/>
          <w:sz w:val="32"/>
          <w:szCs w:val="32"/>
        </w:rPr>
      </w:pPr>
      <w:r>
        <w:rPr>
          <w:rFonts w:hint="default" w:hAnsi="仿宋_GB2312" w:cs="仿宋_GB2312"/>
          <w:color w:val="auto"/>
          <w:sz w:val="32"/>
          <w:szCs w:val="32"/>
        </w:rPr>
        <w:t xml:space="preserve">    （此件主动公开）</w:t>
      </w:r>
    </w:p>
    <w:p>
      <w:pPr>
        <w:pStyle w:val="4"/>
        <w:spacing w:beforeLines="0" w:afterLines="0"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（联系单位：就业促进处）</w:t>
      </w:r>
    </w:p>
    <w:p>
      <w:pPr>
        <w:spacing w:beforeLines="0" w:afterLines="0" w:line="580" w:lineRule="exact"/>
        <w:rPr>
          <w:rFonts w:hint="eastAsia" w:ascii="仿宋_GB2312" w:hAnsi="仿宋_GB2312" w:eastAsia="仿宋_GB2312" w:cs="仿宋_GB2312"/>
          <w:color w:val="auto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zh-CN"/>
        </w:rPr>
        <w:br w:type="page"/>
      </w:r>
    </w:p>
    <w:p>
      <w:pPr>
        <w:pStyle w:val="12"/>
        <w:spacing w:after="0" w:line="560" w:lineRule="exact"/>
        <w:ind w:firstLine="0" w:firstLineChars="0"/>
        <w:rPr>
          <w:rFonts w:hint="eastAsia" w:ascii="黑体" w:hAnsi="黑体" w:eastAsia="黑体" w:cs="黑体"/>
          <w:color w:val="auto"/>
          <w:kern w:val="2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</w:rPr>
        <w:t>附件1</w:t>
      </w:r>
    </w:p>
    <w:p>
      <w:pPr>
        <w:pStyle w:val="12"/>
        <w:spacing w:after="0" w:line="560" w:lineRule="exact"/>
        <w:ind w:firstLine="872" w:firstLineChars="200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pStyle w:val="12"/>
        <w:spacing w:after="0"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山东省就业环境友好型城市建设指标</w:t>
      </w:r>
    </w:p>
    <w:p>
      <w:pPr>
        <w:pStyle w:val="12"/>
        <w:spacing w:after="0" w:line="560" w:lineRule="exact"/>
        <w:ind w:firstLine="0" w:firstLineChars="0"/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参考体系</w:t>
      </w:r>
    </w:p>
    <w:p>
      <w:pPr>
        <w:pStyle w:val="7"/>
        <w:spacing w:line="560" w:lineRule="exact"/>
        <w:rPr>
          <w:color w:val="auto"/>
          <w:szCs w:val="32"/>
          <w:lang w:val="zh-CN"/>
        </w:rPr>
      </w:pPr>
    </w:p>
    <w:p>
      <w:pPr>
        <w:spacing w:line="56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山东省就业环境友好型城市建设指标体系，具体指标包括但不限于以下方面：</w:t>
      </w:r>
    </w:p>
    <w:p>
      <w:pPr>
        <w:spacing w:line="560" w:lineRule="exact"/>
        <w:ind w:firstLine="632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一、基础指标</w:t>
      </w:r>
    </w:p>
    <w:p>
      <w:pPr>
        <w:spacing w:line="56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1.就业人员增长率；</w:t>
      </w:r>
    </w:p>
    <w:p>
      <w:pPr>
        <w:spacing w:line="56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2.市场主体增长率；</w:t>
      </w:r>
    </w:p>
    <w:p>
      <w:pPr>
        <w:spacing w:line="56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3.第一、二、三次产业就业人员占比；</w:t>
      </w:r>
    </w:p>
    <w:p>
      <w:pPr>
        <w:spacing w:line="56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4.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参加失业保险人数占从业人员的比例</w:t>
      </w:r>
      <w:r>
        <w:rPr>
          <w:rFonts w:hint="eastAsia" w:ascii="仿宋_GB2312" w:eastAsia="仿宋_GB2312"/>
          <w:color w:val="auto"/>
          <w:szCs w:val="32"/>
        </w:rPr>
        <w:t>；</w:t>
      </w:r>
    </w:p>
    <w:p>
      <w:pPr>
        <w:spacing w:line="56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5.城镇非私营单位、私营单位就业人员年平均工资。</w:t>
      </w:r>
    </w:p>
    <w:p>
      <w:pPr>
        <w:spacing w:line="560" w:lineRule="exact"/>
        <w:ind w:firstLine="632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二、建设指标</w:t>
      </w:r>
    </w:p>
    <w:p>
      <w:pPr>
        <w:spacing w:line="560" w:lineRule="exact"/>
        <w:ind w:firstLine="632" w:firstLineChars="200"/>
        <w:rPr>
          <w:rFonts w:ascii="楷体_GB2312" w:hAnsi="楷体_GB2312" w:eastAsia="楷体_GB2312" w:cs="楷体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（一）就业法治环境</w:t>
      </w:r>
    </w:p>
    <w:p>
      <w:pPr>
        <w:spacing w:line="56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1.</w:t>
      </w:r>
      <w:r>
        <w:rPr>
          <w:rFonts w:ascii="仿宋_GB2312" w:eastAsia="仿宋_GB2312"/>
          <w:color w:val="auto"/>
          <w:szCs w:val="32"/>
        </w:rPr>
        <w:t>女性就业比例；</w:t>
      </w:r>
    </w:p>
    <w:p>
      <w:pPr>
        <w:spacing w:line="56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2.</w:t>
      </w:r>
      <w:r>
        <w:rPr>
          <w:rFonts w:ascii="仿宋_GB2312" w:eastAsia="仿宋_GB2312"/>
          <w:color w:val="auto"/>
          <w:szCs w:val="32"/>
        </w:rPr>
        <w:t>城镇残疾人未就业比例</w:t>
      </w:r>
      <w:r>
        <w:rPr>
          <w:rFonts w:ascii="仿宋_GB2312" w:eastAsia="仿宋_GB2312"/>
          <w:color w:val="auto"/>
          <w:szCs w:val="32"/>
        </w:rPr>
        <w:t>。</w:t>
      </w:r>
    </w:p>
    <w:p>
      <w:pPr>
        <w:spacing w:line="560" w:lineRule="exact"/>
        <w:ind w:firstLine="632" w:firstLineChars="200"/>
        <w:rPr>
          <w:rFonts w:ascii="楷体_GB2312" w:hAnsi="楷体_GB2312" w:eastAsia="楷体_GB2312" w:cs="楷体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（二）就业政策环境</w:t>
      </w:r>
    </w:p>
    <w:p>
      <w:pPr>
        <w:spacing w:line="56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1.就业经费投入占一般公共预算支出比例；</w:t>
      </w:r>
    </w:p>
    <w:p>
      <w:pPr>
        <w:spacing w:line="56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2.就业补助资金支出与就业人员比例。</w:t>
      </w:r>
    </w:p>
    <w:p>
      <w:pPr>
        <w:spacing w:line="560" w:lineRule="exact"/>
        <w:ind w:firstLine="632" w:firstLineChars="200"/>
        <w:rPr>
          <w:rFonts w:ascii="楷体_GB2312" w:hAnsi="楷体_GB2312" w:eastAsia="楷体_GB2312" w:cs="楷体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（三）就业市场环境</w:t>
      </w:r>
    </w:p>
    <w:p>
      <w:pPr>
        <w:spacing w:line="56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1.公共人力资源市场求人倍率；</w:t>
      </w:r>
    </w:p>
    <w:p>
      <w:pPr>
        <w:spacing w:line="56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2.规模以上工业企业缺工</w:t>
      </w:r>
      <w:r>
        <w:rPr>
          <w:rFonts w:hint="eastAsia" w:ascii="仿宋_GB2312" w:eastAsia="仿宋_GB2312"/>
          <w:color w:val="auto"/>
          <w:szCs w:val="32"/>
          <w:lang w:eastAsia="zh-CN"/>
        </w:rPr>
        <w:t>企业占比</w:t>
      </w:r>
      <w:r>
        <w:rPr>
          <w:rFonts w:hint="eastAsia" w:ascii="仿宋_GB2312" w:eastAsia="仿宋_GB2312"/>
          <w:color w:val="auto"/>
          <w:szCs w:val="32"/>
        </w:rPr>
        <w:t>。</w:t>
      </w:r>
    </w:p>
    <w:p>
      <w:pPr>
        <w:spacing w:line="560" w:lineRule="exact"/>
        <w:ind w:firstLine="632" w:firstLineChars="200"/>
        <w:rPr>
          <w:rFonts w:ascii="楷体_GB2312" w:hAnsi="楷体_GB2312" w:eastAsia="楷体_GB2312" w:cs="楷体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（四）就业服务环境</w:t>
      </w:r>
    </w:p>
    <w:p>
      <w:pPr>
        <w:spacing w:line="56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1.公共就业服务机构工作人员与本地就业人员的比例；</w:t>
      </w:r>
    </w:p>
    <w:p>
      <w:pPr>
        <w:spacing w:line="56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2.经营性人力资源服务机构从业人员数量与本地就业人员的比例。</w:t>
      </w:r>
    </w:p>
    <w:p>
      <w:pPr>
        <w:spacing w:line="560" w:lineRule="exact"/>
        <w:ind w:firstLine="632" w:firstLineChars="200"/>
        <w:rPr>
          <w:rFonts w:ascii="楷体_GB2312" w:hAnsi="楷体_GB2312" w:eastAsia="楷体_GB2312" w:cs="楷体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（五）就业文化环境</w:t>
      </w:r>
    </w:p>
    <w:p>
      <w:pPr>
        <w:spacing w:line="56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1.近三年就业领域文化品牌数量</w:t>
      </w:r>
      <w:r>
        <w:rPr>
          <w:rFonts w:hint="default" w:ascii="仿宋_GB2312" w:eastAsia="仿宋_GB2312"/>
          <w:color w:val="auto"/>
          <w:szCs w:val="32"/>
        </w:rPr>
        <w:t>；</w:t>
      </w:r>
    </w:p>
    <w:p>
      <w:pPr>
        <w:spacing w:line="56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2.近三年就业领域市级以上先进典型人物数量。</w:t>
      </w:r>
    </w:p>
    <w:p>
      <w:pPr>
        <w:spacing w:line="560" w:lineRule="exact"/>
        <w:ind w:firstLine="632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三、调查指标</w:t>
      </w:r>
    </w:p>
    <w:p>
      <w:pPr>
        <w:spacing w:line="56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1.企业对当地就业环境的调查满意度。</w:t>
      </w:r>
    </w:p>
    <w:p>
      <w:pPr>
        <w:spacing w:line="56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2.就业人员</w:t>
      </w:r>
      <w:r>
        <w:rPr>
          <w:rFonts w:ascii="仿宋_GB2312" w:eastAsia="仿宋_GB2312"/>
          <w:color w:val="auto"/>
          <w:szCs w:val="32"/>
        </w:rPr>
        <w:t>对当地就业</w:t>
      </w:r>
      <w:r>
        <w:rPr>
          <w:rFonts w:hint="eastAsia" w:ascii="仿宋_GB2312" w:eastAsia="仿宋_GB2312"/>
          <w:color w:val="auto"/>
          <w:szCs w:val="32"/>
        </w:rPr>
        <w:t>环境</w:t>
      </w:r>
      <w:r>
        <w:rPr>
          <w:rFonts w:ascii="仿宋_GB2312" w:eastAsia="仿宋_GB2312"/>
          <w:color w:val="auto"/>
          <w:szCs w:val="32"/>
        </w:rPr>
        <w:t>的</w:t>
      </w:r>
      <w:r>
        <w:rPr>
          <w:rFonts w:hint="eastAsia" w:ascii="仿宋_GB2312" w:eastAsia="仿宋_GB2312"/>
          <w:color w:val="auto"/>
          <w:szCs w:val="32"/>
        </w:rPr>
        <w:t>调查</w:t>
      </w:r>
      <w:r>
        <w:rPr>
          <w:rFonts w:ascii="仿宋_GB2312" w:eastAsia="仿宋_GB2312"/>
          <w:color w:val="auto"/>
          <w:szCs w:val="32"/>
        </w:rPr>
        <w:t>满意度。</w:t>
      </w:r>
    </w:p>
    <w:p>
      <w:pPr>
        <w:spacing w:line="56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br w:type="page"/>
      </w:r>
    </w:p>
    <w:p>
      <w:pPr>
        <w:pStyle w:val="12"/>
        <w:spacing w:after="0" w:line="560" w:lineRule="exact"/>
        <w:ind w:firstLine="0" w:firstLineChars="0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附件2</w:t>
      </w:r>
    </w:p>
    <w:p>
      <w:pPr>
        <w:pStyle w:val="12"/>
        <w:spacing w:after="0" w:line="560" w:lineRule="exact"/>
        <w:ind w:firstLine="44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12"/>
        <w:spacing w:after="0"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山东省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CN"/>
        </w:rPr>
        <w:t>“就业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环境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CN"/>
        </w:rPr>
        <w:t>友好型城市”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申报</w:t>
      </w:r>
    </w:p>
    <w:p>
      <w:pPr>
        <w:pStyle w:val="12"/>
        <w:spacing w:after="0"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CN"/>
        </w:rPr>
        <w:t>实施方案编制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参考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CN"/>
        </w:rPr>
        <w:t>提纲</w:t>
      </w:r>
    </w:p>
    <w:p>
      <w:pPr>
        <w:pStyle w:val="12"/>
        <w:spacing w:after="0" w:line="560" w:lineRule="exact"/>
        <w:ind w:firstLine="632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firstLine="632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一、基本情况</w:t>
      </w:r>
    </w:p>
    <w:p>
      <w:pPr>
        <w:spacing w:line="56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default" w:ascii="楷体_GB2312" w:hAnsi="楷体_GB2312" w:eastAsia="楷体_GB2312" w:cs="楷体_GB2312"/>
          <w:color w:val="auto"/>
          <w:szCs w:val="32"/>
        </w:rPr>
        <w:t>（一）</w:t>
      </w:r>
      <w:r>
        <w:rPr>
          <w:rFonts w:hint="eastAsia" w:ascii="楷体_GB2312" w:hAnsi="楷体_GB2312" w:eastAsia="楷体_GB2312" w:cs="楷体_GB2312"/>
          <w:color w:val="auto"/>
          <w:szCs w:val="32"/>
        </w:rPr>
        <w:t>申报城市概况。</w:t>
      </w:r>
      <w:r>
        <w:rPr>
          <w:rFonts w:hint="eastAsia" w:ascii="仿宋_GB2312" w:eastAsia="仿宋_GB2312"/>
          <w:color w:val="auto"/>
          <w:szCs w:val="32"/>
        </w:rPr>
        <w:t>介绍示范项目申报城市的经济社会发展情况，重点介绍辖区内人口分布、产业结构、城乡就业人员情况、就业重点人群数量及构成等情况。</w:t>
      </w:r>
    </w:p>
    <w:p>
      <w:pPr>
        <w:spacing w:line="56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default" w:ascii="楷体_GB2312" w:hAnsi="楷体_GB2312" w:eastAsia="楷体_GB2312" w:cs="楷体_GB2312"/>
          <w:color w:val="auto"/>
          <w:szCs w:val="32"/>
        </w:rPr>
        <w:t>（二）</w:t>
      </w:r>
      <w:r>
        <w:rPr>
          <w:rFonts w:hint="eastAsia" w:ascii="楷体_GB2312" w:hAnsi="楷体_GB2312" w:eastAsia="楷体_GB2312" w:cs="楷体_GB2312"/>
          <w:color w:val="auto"/>
          <w:szCs w:val="32"/>
        </w:rPr>
        <w:t>就业工作情况。</w:t>
      </w:r>
      <w:r>
        <w:rPr>
          <w:rFonts w:hint="eastAsia" w:ascii="仿宋_GB2312" w:eastAsia="仿宋_GB2312"/>
          <w:color w:val="auto"/>
          <w:szCs w:val="32"/>
        </w:rPr>
        <w:t>介绍申报城市实施就业优先政策、落实“十四五”就业促进规划、提供均等化基本公共就业服务的主要情况。</w:t>
      </w:r>
    </w:p>
    <w:p>
      <w:pPr>
        <w:spacing w:line="560" w:lineRule="exact"/>
        <w:ind w:firstLine="632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二、申报工作情况</w:t>
      </w:r>
    </w:p>
    <w:p>
      <w:pPr>
        <w:spacing w:line="56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介绍申报城市围绕示范项目开展的前期准备工作，包括研究论证情况、立项情况、工作基础等。</w:t>
      </w:r>
    </w:p>
    <w:p>
      <w:pPr>
        <w:spacing w:line="560" w:lineRule="exact"/>
        <w:ind w:firstLine="632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三、可行性分析</w:t>
      </w:r>
    </w:p>
    <w:p>
      <w:pPr>
        <w:spacing w:line="56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可行性分析要着重论证项目实施的整体性、系统性、科学性以及建设措施的可落地性，说明项目实施条件是否已经具备、资金投入渠道及已落实情况等。</w:t>
      </w:r>
    </w:p>
    <w:p>
      <w:pPr>
        <w:spacing w:line="560" w:lineRule="exact"/>
        <w:ind w:firstLine="632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四、建设内容</w:t>
      </w:r>
    </w:p>
    <w:p>
      <w:pPr>
        <w:spacing w:line="56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default" w:ascii="楷体_GB2312" w:hAnsi="楷体_GB2312" w:eastAsia="楷体_GB2312" w:cs="楷体_GB2312"/>
          <w:color w:val="auto"/>
          <w:szCs w:val="32"/>
        </w:rPr>
        <w:t>（一）</w:t>
      </w:r>
      <w:r>
        <w:rPr>
          <w:rFonts w:hint="eastAsia" w:ascii="楷体_GB2312" w:hAnsi="楷体_GB2312" w:eastAsia="楷体_GB2312" w:cs="楷体_GB2312"/>
          <w:color w:val="auto"/>
          <w:szCs w:val="32"/>
        </w:rPr>
        <w:t>主要目标。</w:t>
      </w:r>
      <w:r>
        <w:rPr>
          <w:rFonts w:hint="eastAsia" w:ascii="仿宋_GB2312" w:eastAsia="仿宋_GB2312"/>
          <w:color w:val="auto"/>
          <w:szCs w:val="32"/>
        </w:rPr>
        <w:t>制定示范项目实施的总体目标和年度目标。</w:t>
      </w:r>
    </w:p>
    <w:p>
      <w:pPr>
        <w:spacing w:line="56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default" w:ascii="楷体_GB2312" w:hAnsi="楷体_GB2312" w:eastAsia="楷体_GB2312" w:cs="楷体_GB2312"/>
          <w:color w:val="auto"/>
          <w:szCs w:val="32"/>
        </w:rPr>
        <w:t>（二）</w:t>
      </w:r>
      <w:r>
        <w:rPr>
          <w:rFonts w:hint="eastAsia" w:ascii="楷体_GB2312" w:hAnsi="楷体_GB2312" w:eastAsia="楷体_GB2312" w:cs="楷体_GB2312"/>
          <w:color w:val="auto"/>
          <w:szCs w:val="32"/>
        </w:rPr>
        <w:t>实施内容。</w:t>
      </w:r>
      <w:r>
        <w:rPr>
          <w:rFonts w:hint="eastAsia" w:ascii="仿宋_GB2312" w:eastAsia="仿宋_GB2312"/>
          <w:color w:val="auto"/>
          <w:szCs w:val="32"/>
        </w:rPr>
        <w:t>围绕建设目标，聚焦就业法治环境、就业政策环境、就业市场环境、就业服务环境、就业文化环境</w:t>
      </w:r>
      <w:r>
        <w:rPr>
          <w:rFonts w:hint="default" w:ascii="仿宋_GB2312" w:eastAsia="仿宋_GB2312"/>
          <w:color w:val="auto"/>
          <w:szCs w:val="32"/>
        </w:rPr>
        <w:t>等</w:t>
      </w:r>
      <w:r>
        <w:rPr>
          <w:rFonts w:hint="eastAsia" w:ascii="仿宋_GB2312" w:eastAsia="仿宋_GB2312"/>
          <w:color w:val="auto"/>
          <w:szCs w:val="32"/>
        </w:rPr>
        <w:t>方面，结合本地实际</w:t>
      </w:r>
      <w:r>
        <w:rPr>
          <w:rFonts w:hint="eastAsia" w:ascii="仿宋_GB2312" w:eastAsia="仿宋_GB2312"/>
          <w:color w:val="auto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Cs w:val="32"/>
        </w:rPr>
        <w:t>研究提出一揽子建设思路和具体举措。</w:t>
      </w:r>
    </w:p>
    <w:p>
      <w:pPr>
        <w:spacing w:line="560" w:lineRule="exact"/>
        <w:ind w:firstLine="632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五、保障措施</w:t>
      </w:r>
    </w:p>
    <w:p>
      <w:pPr>
        <w:spacing w:line="56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明确建设工作的具体组织和实施的责任部门和单位，从组织领导、部门联动、政策保障、资金管理、舆论宣传、绩效监控、监督检查等方面，说明拟采取的保障项目按计划顺利实施的各项措施。</w:t>
      </w:r>
    </w:p>
    <w:p>
      <w:pPr>
        <w:spacing w:line="560" w:lineRule="exact"/>
        <w:ind w:firstLine="632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六、其他事项</w:t>
      </w:r>
    </w:p>
    <w:p>
      <w:pPr>
        <w:spacing w:line="560" w:lineRule="exact"/>
        <w:ind w:firstLine="632" w:firstLineChars="200"/>
        <w:rPr>
          <w:rFonts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其他需要说明的内容。</w:t>
      </w:r>
    </w:p>
    <w:p>
      <w:pPr>
        <w:spacing w:line="277" w:lineRule="auto"/>
        <w:rPr>
          <w:rFonts w:ascii="Arial"/>
          <w:color w:val="auto"/>
          <w:szCs w:val="32"/>
        </w:rPr>
      </w:pPr>
    </w:p>
    <w:p>
      <w:pPr>
        <w:spacing w:line="323" w:lineRule="auto"/>
        <w:rPr>
          <w:rFonts w:ascii="Arial"/>
          <w:color w:val="auto"/>
          <w:szCs w:val="32"/>
        </w:rPr>
        <w:sectPr>
          <w:footerReference r:id="rId3" w:type="default"/>
          <w:pgSz w:w="11900" w:h="16820"/>
          <w:pgMar w:top="2098" w:right="1531" w:bottom="1814" w:left="1531" w:header="0" w:footer="1587" w:gutter="0"/>
          <w:cols w:space="0" w:num="1"/>
          <w:rtlGutter w:val="0"/>
          <w:docGrid w:type="linesAndChars" w:linePitch="586" w:charSpace="-893"/>
        </w:sectPr>
      </w:pPr>
    </w:p>
    <w:p>
      <w:pPr>
        <w:pStyle w:val="12"/>
        <w:spacing w:after="0" w:line="560" w:lineRule="exact"/>
        <w:ind w:firstLine="0" w:firstLineChars="0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附件3</w:t>
      </w:r>
    </w:p>
    <w:p>
      <w:pPr>
        <w:pStyle w:val="12"/>
        <w:spacing w:beforeLines="0" w:after="0" w:afterLines="0" w:line="54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CN"/>
        </w:rPr>
        <w:t>山东省“就业环境友好型城市”绩效目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标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CN"/>
        </w:rPr>
        <w:t>表</w:t>
      </w:r>
    </w:p>
    <w:p>
      <w:pPr>
        <w:pStyle w:val="12"/>
        <w:spacing w:after="0" w:line="540" w:lineRule="exact"/>
        <w:ind w:firstLine="0" w:firstLineChars="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21"/>
          <w:sz w:val="32"/>
          <w:szCs w:val="32"/>
        </w:rPr>
        <w:t>申报城市</w:t>
      </w:r>
      <w:r>
        <w:rPr>
          <w:rFonts w:hint="eastAsia" w:ascii="楷体_GB2312" w:hAnsi="楷体_GB2312" w:eastAsia="楷体_GB2312" w:cs="楷体_GB2312"/>
          <w:color w:val="auto"/>
          <w:spacing w:val="20"/>
          <w:sz w:val="32"/>
          <w:szCs w:val="32"/>
        </w:rPr>
        <w:t>：</w:t>
      </w:r>
    </w:p>
    <w:tbl>
      <w:tblPr>
        <w:tblStyle w:val="21"/>
        <w:tblpPr w:leftFromText="180" w:rightFromText="180" w:vertAnchor="text" w:tblpXSpec="center" w:tblpY="1"/>
        <w:tblOverlap w:val="never"/>
        <w:tblW w:w="102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837"/>
        <w:gridCol w:w="851"/>
        <w:gridCol w:w="3668"/>
        <w:gridCol w:w="1687"/>
        <w:gridCol w:w="1718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2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792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山东省“就业环境友好型城市”项目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2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申报部门</w:t>
            </w:r>
          </w:p>
        </w:tc>
        <w:tc>
          <w:tcPr>
            <w:tcW w:w="792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22" w:type="dxa"/>
            <w:gridSpan w:val="3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总体目标完成情况</w:t>
            </w:r>
          </w:p>
        </w:tc>
        <w:tc>
          <w:tcPr>
            <w:tcW w:w="3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总体目标</w:t>
            </w:r>
          </w:p>
        </w:tc>
        <w:tc>
          <w:tcPr>
            <w:tcW w:w="425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目标实际完成情况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322" w:type="dxa"/>
            <w:gridSpan w:val="3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建设指标</w:t>
            </w:r>
          </w:p>
        </w:tc>
        <w:tc>
          <w:tcPr>
            <w:tcW w:w="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类别</w:t>
            </w:r>
          </w:p>
        </w:tc>
        <w:tc>
          <w:tcPr>
            <w:tcW w:w="45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指标内容</w:t>
            </w:r>
          </w:p>
        </w:tc>
        <w:tc>
          <w:tcPr>
            <w:tcW w:w="16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2021年数据</w:t>
            </w: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2025年目标值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extDirection w:val="tbRlV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基础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指标</w:t>
            </w:r>
          </w:p>
        </w:tc>
        <w:tc>
          <w:tcPr>
            <w:tcW w:w="4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就业人员增长率</w:t>
            </w:r>
          </w:p>
        </w:tc>
        <w:tc>
          <w:tcPr>
            <w:tcW w:w="16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extDirection w:val="tbRlV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4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市场主体增长率</w:t>
            </w:r>
          </w:p>
        </w:tc>
        <w:tc>
          <w:tcPr>
            <w:tcW w:w="16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extDirection w:val="tbRlV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4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第一、二、三次产业就业人员占比</w:t>
            </w:r>
          </w:p>
        </w:tc>
        <w:tc>
          <w:tcPr>
            <w:tcW w:w="16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63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extDirection w:val="tbRlV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4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spacing w:after="0"/>
              <w:ind w:left="0" w:leftChars="0" w:firstLine="0" w:firstLineChars="0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参加失业保险人数占从业人员的比例</w:t>
            </w:r>
          </w:p>
        </w:tc>
        <w:tc>
          <w:tcPr>
            <w:tcW w:w="16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extDirection w:val="tbRlV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4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4"/>
                <w:szCs w:val="24"/>
              </w:rPr>
              <w:t>城镇非私营单位、私营单位就业人员年平均工资</w:t>
            </w:r>
          </w:p>
        </w:tc>
        <w:tc>
          <w:tcPr>
            <w:tcW w:w="16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extDirection w:val="tbRlV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就业法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治环境</w:t>
            </w:r>
          </w:p>
        </w:tc>
        <w:tc>
          <w:tcPr>
            <w:tcW w:w="4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女性就业比例</w:t>
            </w:r>
          </w:p>
        </w:tc>
        <w:tc>
          <w:tcPr>
            <w:tcW w:w="16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extDirection w:val="tbRlV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4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城镇残疾人未就业比例</w:t>
            </w:r>
          </w:p>
        </w:tc>
        <w:tc>
          <w:tcPr>
            <w:tcW w:w="16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extDirection w:val="tbRlV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就业政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策环境</w:t>
            </w:r>
          </w:p>
        </w:tc>
        <w:tc>
          <w:tcPr>
            <w:tcW w:w="4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就业经费投入占一般公共预算支出比例</w:t>
            </w:r>
          </w:p>
        </w:tc>
        <w:tc>
          <w:tcPr>
            <w:tcW w:w="16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extDirection w:val="tbRlV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4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就业补助资金支出与就业人员比例</w:t>
            </w:r>
          </w:p>
        </w:tc>
        <w:tc>
          <w:tcPr>
            <w:tcW w:w="16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extDirection w:val="tbRlV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就业市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场环境</w:t>
            </w:r>
          </w:p>
        </w:tc>
        <w:tc>
          <w:tcPr>
            <w:tcW w:w="4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公共人力资源市场求人倍率</w:t>
            </w:r>
          </w:p>
        </w:tc>
        <w:tc>
          <w:tcPr>
            <w:tcW w:w="16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3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extDirection w:val="tbRlV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4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规模以上工业企业缺工规模</w:t>
            </w:r>
          </w:p>
        </w:tc>
        <w:tc>
          <w:tcPr>
            <w:tcW w:w="16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extDirection w:val="tbRlV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就业服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务环境</w:t>
            </w:r>
          </w:p>
        </w:tc>
        <w:tc>
          <w:tcPr>
            <w:tcW w:w="4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公共就业服务机构工作人员与本地就业人员的比例</w:t>
            </w:r>
          </w:p>
        </w:tc>
        <w:tc>
          <w:tcPr>
            <w:tcW w:w="16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extDirection w:val="tbRlV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4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经营性人力资源服务机构从业人员数量与本地就业人员的比例</w:t>
            </w:r>
          </w:p>
        </w:tc>
        <w:tc>
          <w:tcPr>
            <w:tcW w:w="16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extDirection w:val="tbRlV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就业文化环境</w:t>
            </w:r>
          </w:p>
        </w:tc>
        <w:tc>
          <w:tcPr>
            <w:tcW w:w="4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近三年就业领域文化品牌数量</w:t>
            </w:r>
          </w:p>
        </w:tc>
        <w:tc>
          <w:tcPr>
            <w:tcW w:w="16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extDirection w:val="tbRlV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4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近三年就业领域市级以上先进典型人物数量</w:t>
            </w:r>
          </w:p>
        </w:tc>
        <w:tc>
          <w:tcPr>
            <w:tcW w:w="16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extDirection w:val="tbRlV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调查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指标</w:t>
            </w:r>
          </w:p>
        </w:tc>
        <w:tc>
          <w:tcPr>
            <w:tcW w:w="4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企业对当地就业环境的调查满意度</w:t>
            </w:r>
          </w:p>
        </w:tc>
        <w:tc>
          <w:tcPr>
            <w:tcW w:w="16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extDirection w:val="tbRlV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45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就业人员</w:t>
            </w:r>
            <w:r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对当地就业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环境</w:t>
            </w:r>
            <w:r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调查</w:t>
            </w:r>
            <w:r>
              <w:rPr>
                <w:rFonts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满意度</w:t>
            </w:r>
          </w:p>
        </w:tc>
        <w:tc>
          <w:tcPr>
            <w:tcW w:w="16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pStyle w:val="12"/>
        <w:spacing w:after="0" w:line="540" w:lineRule="exact"/>
        <w:ind w:firstLine="0" w:firstLineChars="0"/>
        <w:rPr>
          <w:rFonts w:hint="eastAsia" w:ascii="楷体_GB2312" w:hAnsi="楷体_GB2312" w:eastAsia="楷体_GB2312" w:cs="楷体_GB2312"/>
          <w:color w:val="auto"/>
          <w:spacing w:val="-11"/>
        </w:rPr>
      </w:pPr>
      <w:r>
        <w:rPr>
          <w:rFonts w:hint="eastAsia" w:ascii="楷体_GB2312" w:hAnsi="楷体_GB2312" w:eastAsia="楷体_GB2312" w:cs="楷体_GB2312"/>
          <w:color w:val="auto"/>
          <w:spacing w:val="-13"/>
        </w:rPr>
        <w:t>注</w:t>
      </w:r>
      <w:r>
        <w:rPr>
          <w:rFonts w:hint="eastAsia" w:ascii="楷体_GB2312" w:hAnsi="楷体_GB2312" w:eastAsia="楷体_GB2312" w:cs="楷体_GB2312"/>
          <w:color w:val="auto"/>
          <w:spacing w:val="-12"/>
        </w:rPr>
        <w:t>：根据地方实际，可有针对性选用以上指标，也可适当增加指标。相关指</w:t>
      </w:r>
      <w:r>
        <w:rPr>
          <w:rFonts w:hint="eastAsia" w:ascii="楷体_GB2312" w:hAnsi="楷体_GB2312" w:eastAsia="楷体_GB2312" w:cs="楷体_GB2312"/>
          <w:color w:val="auto"/>
          <w:spacing w:val="-11"/>
        </w:rPr>
        <w:t>标内容要明确、可行、可考核。</w:t>
      </w:r>
    </w:p>
    <w:p>
      <w:pPr>
        <w:pStyle w:val="12"/>
        <w:spacing w:after="0" w:line="540" w:lineRule="exact"/>
        <w:ind w:firstLine="0" w:firstLineChars="0"/>
        <w:rPr>
          <w:rFonts w:hint="eastAsia" w:ascii="楷体_GB2312" w:hAnsi="楷体_GB2312" w:eastAsia="楷体_GB2312" w:cs="楷体_GB2312"/>
          <w:color w:val="auto"/>
          <w:spacing w:val="-11"/>
        </w:rPr>
      </w:pPr>
      <w:r>
        <w:rPr>
          <w:rFonts w:hint="eastAsia" w:ascii="楷体_GB2312" w:hAnsi="楷体_GB2312" w:eastAsia="楷体_GB2312" w:cs="楷体_GB2312"/>
          <w:color w:val="auto"/>
          <w:spacing w:val="-11"/>
        </w:rPr>
        <w:br w:type="page"/>
      </w:r>
    </w:p>
    <w:p>
      <w:pPr>
        <w:pStyle w:val="12"/>
        <w:spacing w:after="0" w:line="540" w:lineRule="exact"/>
        <w:ind w:firstLine="0" w:firstLineChars="0"/>
        <w:rPr>
          <w:rFonts w:hint="eastAsia" w:ascii="楷体_GB2312" w:hAnsi="楷体_GB2312" w:eastAsia="楷体_GB2312" w:cs="楷体_GB2312"/>
          <w:color w:val="auto"/>
          <w:spacing w:val="-11"/>
        </w:rPr>
      </w:pPr>
    </w:p>
    <w:p>
      <w:pPr>
        <w:pStyle w:val="12"/>
        <w:spacing w:after="0" w:line="540" w:lineRule="exact"/>
        <w:ind w:firstLine="0" w:firstLineChars="0"/>
        <w:rPr>
          <w:rFonts w:hint="eastAsia" w:ascii="楷体_GB2312" w:hAnsi="楷体_GB2312" w:eastAsia="楷体_GB2312" w:cs="楷体_GB2312"/>
          <w:color w:val="auto"/>
          <w:spacing w:val="-11"/>
        </w:rPr>
      </w:pPr>
    </w:p>
    <w:p>
      <w:pPr>
        <w:pStyle w:val="12"/>
        <w:spacing w:after="0" w:line="540" w:lineRule="exact"/>
        <w:ind w:firstLine="0" w:firstLineChars="0"/>
        <w:rPr>
          <w:rFonts w:hint="eastAsia" w:ascii="楷体_GB2312" w:hAnsi="楷体_GB2312" w:eastAsia="楷体_GB2312" w:cs="楷体_GB2312"/>
          <w:color w:val="auto"/>
          <w:spacing w:val="-11"/>
        </w:rPr>
      </w:pPr>
    </w:p>
    <w:p>
      <w:pPr>
        <w:pStyle w:val="12"/>
        <w:spacing w:after="0" w:line="540" w:lineRule="exact"/>
        <w:ind w:firstLine="0" w:firstLineChars="0"/>
        <w:rPr>
          <w:rFonts w:hint="eastAsia" w:ascii="楷体_GB2312" w:hAnsi="楷体_GB2312" w:eastAsia="楷体_GB2312" w:cs="楷体_GB2312"/>
          <w:color w:val="auto"/>
          <w:spacing w:val="-11"/>
        </w:rPr>
      </w:pPr>
    </w:p>
    <w:p>
      <w:pPr>
        <w:pStyle w:val="12"/>
        <w:spacing w:after="0" w:line="540" w:lineRule="exact"/>
        <w:ind w:firstLine="0" w:firstLineChars="0"/>
        <w:rPr>
          <w:rFonts w:hint="eastAsia" w:ascii="楷体_GB2312" w:hAnsi="楷体_GB2312" w:eastAsia="楷体_GB2312" w:cs="楷体_GB2312"/>
          <w:color w:val="auto"/>
          <w:spacing w:val="-11"/>
        </w:rPr>
      </w:pPr>
    </w:p>
    <w:p>
      <w:pPr>
        <w:pStyle w:val="12"/>
        <w:spacing w:after="0" w:line="540" w:lineRule="exact"/>
        <w:ind w:firstLine="0" w:firstLineChars="0"/>
        <w:rPr>
          <w:rFonts w:hint="eastAsia" w:ascii="楷体_GB2312" w:hAnsi="楷体_GB2312" w:eastAsia="楷体_GB2312" w:cs="楷体_GB2312"/>
          <w:color w:val="auto"/>
          <w:spacing w:val="-11"/>
        </w:rPr>
      </w:pPr>
    </w:p>
    <w:p>
      <w:pPr>
        <w:pStyle w:val="12"/>
        <w:spacing w:after="0" w:line="540" w:lineRule="exact"/>
        <w:ind w:firstLine="0" w:firstLineChars="0"/>
        <w:rPr>
          <w:rFonts w:hint="eastAsia" w:ascii="楷体_GB2312" w:hAnsi="楷体_GB2312" w:eastAsia="楷体_GB2312" w:cs="楷体_GB2312"/>
          <w:color w:val="auto"/>
          <w:spacing w:val="-11"/>
        </w:rPr>
      </w:pPr>
    </w:p>
    <w:p>
      <w:pPr>
        <w:pStyle w:val="12"/>
        <w:spacing w:after="0" w:line="540" w:lineRule="exact"/>
        <w:ind w:firstLine="0" w:firstLineChars="0"/>
        <w:rPr>
          <w:rFonts w:hint="eastAsia" w:ascii="楷体_GB2312" w:hAnsi="楷体_GB2312" w:eastAsia="楷体_GB2312" w:cs="楷体_GB2312"/>
          <w:color w:val="auto"/>
          <w:spacing w:val="-11"/>
        </w:rPr>
      </w:pPr>
    </w:p>
    <w:p>
      <w:pPr>
        <w:pStyle w:val="12"/>
        <w:spacing w:after="0" w:line="540" w:lineRule="exact"/>
        <w:ind w:firstLine="0" w:firstLineChars="0"/>
        <w:rPr>
          <w:rFonts w:hint="eastAsia" w:ascii="楷体_GB2312" w:hAnsi="楷体_GB2312" w:eastAsia="楷体_GB2312" w:cs="楷体_GB2312"/>
          <w:color w:val="auto"/>
          <w:spacing w:val="-11"/>
        </w:rPr>
      </w:pPr>
    </w:p>
    <w:p>
      <w:pPr>
        <w:pStyle w:val="12"/>
        <w:spacing w:after="0" w:line="540" w:lineRule="exact"/>
        <w:ind w:firstLine="0" w:firstLineChars="0"/>
        <w:rPr>
          <w:rFonts w:hint="eastAsia" w:ascii="楷体_GB2312" w:hAnsi="楷体_GB2312" w:eastAsia="楷体_GB2312" w:cs="楷体_GB2312"/>
          <w:color w:val="auto"/>
          <w:spacing w:val="-11"/>
        </w:rPr>
      </w:pPr>
    </w:p>
    <w:p>
      <w:pPr>
        <w:pStyle w:val="12"/>
        <w:spacing w:after="0" w:line="540" w:lineRule="exact"/>
        <w:ind w:firstLine="0" w:firstLineChars="0"/>
        <w:rPr>
          <w:rFonts w:hint="eastAsia" w:ascii="楷体_GB2312" w:hAnsi="楷体_GB2312" w:eastAsia="楷体_GB2312" w:cs="楷体_GB2312"/>
          <w:color w:val="auto"/>
          <w:spacing w:val="-11"/>
        </w:rPr>
      </w:pPr>
    </w:p>
    <w:p>
      <w:pPr>
        <w:pStyle w:val="12"/>
        <w:spacing w:after="0" w:line="540" w:lineRule="exact"/>
        <w:ind w:firstLine="0" w:firstLineChars="0"/>
        <w:rPr>
          <w:rFonts w:hint="eastAsia" w:ascii="楷体_GB2312" w:hAnsi="楷体_GB2312" w:eastAsia="楷体_GB2312" w:cs="楷体_GB2312"/>
          <w:color w:val="auto"/>
          <w:spacing w:val="-11"/>
        </w:rPr>
      </w:pPr>
    </w:p>
    <w:p>
      <w:pPr>
        <w:pStyle w:val="12"/>
        <w:spacing w:after="0" w:line="540" w:lineRule="exact"/>
        <w:ind w:firstLine="0" w:firstLineChars="0"/>
        <w:rPr>
          <w:rFonts w:hint="eastAsia" w:ascii="楷体_GB2312" w:hAnsi="楷体_GB2312" w:eastAsia="楷体_GB2312" w:cs="楷体_GB2312"/>
          <w:color w:val="auto"/>
          <w:spacing w:val="-11"/>
        </w:rPr>
      </w:pPr>
    </w:p>
    <w:p>
      <w:pPr>
        <w:pStyle w:val="12"/>
        <w:spacing w:after="0" w:line="540" w:lineRule="exact"/>
        <w:ind w:firstLine="0" w:firstLineChars="0"/>
        <w:rPr>
          <w:rFonts w:hint="eastAsia" w:ascii="楷体_GB2312" w:hAnsi="楷体_GB2312" w:eastAsia="楷体_GB2312" w:cs="楷体_GB2312"/>
          <w:color w:val="auto"/>
          <w:spacing w:val="-11"/>
        </w:rPr>
      </w:pPr>
    </w:p>
    <w:p>
      <w:pPr>
        <w:pStyle w:val="12"/>
        <w:spacing w:after="0" w:line="540" w:lineRule="exact"/>
        <w:ind w:firstLine="0" w:firstLineChars="0"/>
        <w:rPr>
          <w:rFonts w:hint="eastAsia" w:ascii="楷体_GB2312" w:hAnsi="楷体_GB2312" w:eastAsia="楷体_GB2312" w:cs="楷体_GB2312"/>
          <w:color w:val="auto"/>
          <w:spacing w:val="-11"/>
        </w:rPr>
      </w:pPr>
    </w:p>
    <w:p>
      <w:pPr>
        <w:pStyle w:val="12"/>
        <w:spacing w:after="0" w:line="540" w:lineRule="exact"/>
        <w:ind w:firstLine="0" w:firstLineChars="0"/>
        <w:rPr>
          <w:rFonts w:hint="eastAsia" w:ascii="楷体_GB2312" w:hAnsi="楷体_GB2312" w:eastAsia="楷体_GB2312" w:cs="楷体_GB2312"/>
          <w:color w:val="auto"/>
          <w:spacing w:val="-11"/>
        </w:rPr>
      </w:pPr>
    </w:p>
    <w:p>
      <w:pPr>
        <w:pStyle w:val="12"/>
        <w:spacing w:after="0" w:line="540" w:lineRule="exact"/>
        <w:ind w:firstLine="0" w:firstLineChars="0"/>
        <w:rPr>
          <w:rFonts w:hint="eastAsia" w:ascii="楷体_GB2312" w:hAnsi="楷体_GB2312" w:eastAsia="楷体_GB2312" w:cs="楷体_GB2312"/>
          <w:color w:val="auto"/>
          <w:spacing w:val="-11"/>
        </w:rPr>
      </w:pPr>
    </w:p>
    <w:p>
      <w:pPr>
        <w:pStyle w:val="12"/>
        <w:spacing w:after="0" w:line="540" w:lineRule="exact"/>
        <w:ind w:firstLine="0" w:firstLineChars="0"/>
        <w:rPr>
          <w:rFonts w:hint="eastAsia" w:ascii="楷体_GB2312" w:hAnsi="楷体_GB2312" w:eastAsia="楷体_GB2312" w:cs="楷体_GB2312"/>
          <w:color w:val="auto"/>
          <w:spacing w:val="-11"/>
        </w:rPr>
      </w:pPr>
    </w:p>
    <w:p>
      <w:pPr>
        <w:pStyle w:val="12"/>
        <w:spacing w:after="0" w:line="540" w:lineRule="exact"/>
        <w:ind w:firstLine="0" w:firstLineChars="0"/>
        <w:rPr>
          <w:rFonts w:hint="eastAsia" w:ascii="楷体_GB2312" w:hAnsi="楷体_GB2312" w:eastAsia="楷体_GB2312" w:cs="楷体_GB2312"/>
          <w:color w:val="auto"/>
          <w:spacing w:val="-11"/>
        </w:rPr>
      </w:pPr>
    </w:p>
    <w:p>
      <w:pPr>
        <w:pStyle w:val="12"/>
        <w:spacing w:after="0" w:line="540" w:lineRule="exact"/>
        <w:ind w:firstLine="0" w:firstLineChars="0"/>
        <w:rPr>
          <w:rFonts w:hint="eastAsia" w:ascii="楷体_GB2312" w:hAnsi="楷体_GB2312" w:eastAsia="楷体_GB2312" w:cs="楷体_GB2312"/>
          <w:color w:val="auto"/>
          <w:spacing w:val="-11"/>
        </w:rPr>
      </w:pPr>
    </w:p>
    <w:p>
      <w:pPr>
        <w:pStyle w:val="12"/>
        <w:spacing w:after="0" w:line="540" w:lineRule="exact"/>
        <w:ind w:firstLine="0" w:firstLineChars="0"/>
        <w:rPr>
          <w:rFonts w:hint="eastAsia" w:ascii="楷体_GB2312" w:hAnsi="楷体_GB2312" w:eastAsia="楷体_GB2312" w:cs="楷体_GB2312"/>
          <w:color w:val="auto"/>
          <w:spacing w:val="-11"/>
        </w:rPr>
      </w:pPr>
    </w:p>
    <w:p>
      <w:pPr>
        <w:spacing w:beforeLines="0" w:afterLines="0" w:line="500" w:lineRule="exact"/>
        <w:ind w:firstLine="280" w:firstLineChars="1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615940" cy="0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0.1pt;height:0pt;width:442.2pt;z-index:251661312;mso-width-relative:page;mso-height-relative:page;" filled="f" stroked="t" coordsize="21600,21600" o:gfxdata="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7jyBdIAAAAC&#10;AQAADwAAAAAAAAABACAAAAAiAAAAZHJzL2Rvd25yZXYueG1sUEsBAhQAFAAAAAgAh07iQLE6a2zp&#10;AQAA3AMAAA4AAAAAAAAAAQAgAAAAIQEAAGRycy9lMm9Eb2MueG1sUEsFBgAAAAAGAAYAWQEAAHwF&#10;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561594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-0.35pt;height:0pt;width:442.2pt;z-index:251660288;mso-width-relative:page;mso-height-relative:page;" filled="f" stroked="t" coordsize="21600,21600" o:gfxdata="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e69gXUAAAA&#10;BAEAAA8AAAAAAAAAAQAgAAAAIgAAAGRycy9kb3ducmV2LnhtbFBLAQIUABQAAAAIAIdO4kCi5kmf&#10;6AEAANwDAAAOAAAAAAAAAAEAIAAAACMBAABkcnMvZTJvRG9jLnhtbFBLBQYAAAAABgAGAFkBAAB9&#10;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374015</wp:posOffset>
                </wp:positionV>
                <wp:extent cx="5615940" cy="0"/>
                <wp:effectExtent l="0" t="0" r="0" b="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29.45pt;height:0pt;width:442.2pt;z-index:251659264;mso-width-relative:page;mso-height-relative:page;" filled="f" stroked="t" coordsize="21600,21600" o:gfxdata="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0kC23W&#10;AAAABgEAAA8AAAAAAAAAAQAgAAAAIgAAAGRycy9kb3ducmV2LnhtbFBLAQIUABQAAAAIAIdO4kCQ&#10;ixso6QEAANwDAAAOAAAAAAAAAAEAIAAAACUBAABkcnMvZTJvRG9jLnhtbFBLBQYAAAAABgAGAFkB&#10;AACA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w:t>山东省人力资源和社会保障厅办公室        202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13</w:t>
      </w:r>
      <w:r>
        <w:rPr>
          <w:rFonts w:hint="eastAsia" w:ascii="仿宋_GB2312" w:eastAsia="仿宋_GB2312"/>
          <w:color w:val="auto"/>
          <w:sz w:val="28"/>
          <w:szCs w:val="28"/>
        </w:rPr>
        <w:t>日印发</w:t>
      </w:r>
    </w:p>
    <w:p>
      <w:pPr>
        <w:spacing w:beforeLines="0" w:after="0" w:afterLines="0" w:line="580" w:lineRule="exact"/>
        <w:ind w:firstLine="280" w:firstLineChars="100"/>
        <w:rPr>
          <w:rFonts w:hint="eastAsia" w:ascii="楷体_GB2312" w:hAnsi="楷体_GB2312" w:eastAsia="楷体_GB2312" w:cs="楷体_GB2312"/>
          <w:color w:val="auto"/>
          <w:spacing w:val="-11"/>
        </w:rPr>
      </w:pP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422910</wp:posOffset>
                </wp:positionV>
                <wp:extent cx="5615940" cy="0"/>
                <wp:effectExtent l="0" t="0" r="0" b="0"/>
                <wp:wrapNone/>
                <wp:docPr id="5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33.3pt;height:0pt;width:442.2pt;z-index:251662336;mso-width-relative:page;mso-height-relative:page;" filled="f" stroked="t" coordsize="21600,21600" o:gfxdata="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/QKz9UA&#10;AAAGAQAADwAAAAAAAAABACAAAAAiAAAAZHJzL2Rvd25yZXYueG1sUEsBAhQAFAAAAAgAh07iQPky&#10;mWzpAQAA3AMAAA4AAAAAAAAAAQAgAAAAJAEAAGRycy9lMm9Eb2MueG1sUEsFBgAAAAAGAAYAWQEA&#10;AH8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w:t>校核人：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顾巍</w:t>
      </w:r>
    </w:p>
    <w:sectPr>
      <w:footerReference r:id="rId4" w:type="default"/>
      <w:pgSz w:w="11906" w:h="16838"/>
      <w:pgMar w:top="2098" w:right="1531" w:bottom="1814" w:left="1531" w:header="851" w:footer="992" w:gutter="0"/>
      <w:pgNumType w:fmt="numberInDash"/>
      <w:cols w:space="0" w:num="1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rPr>
        <w:rFonts w:ascii="宋体" w:hAnsi="宋体" w:cs="宋体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2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00172A27"/>
    <w:rsid w:val="00172A27"/>
    <w:rsid w:val="002B415A"/>
    <w:rsid w:val="002F7E08"/>
    <w:rsid w:val="00864371"/>
    <w:rsid w:val="02442E54"/>
    <w:rsid w:val="027B6798"/>
    <w:rsid w:val="042233F1"/>
    <w:rsid w:val="05AC25D0"/>
    <w:rsid w:val="06354E27"/>
    <w:rsid w:val="063D3A56"/>
    <w:rsid w:val="082F3CCF"/>
    <w:rsid w:val="0A082A1F"/>
    <w:rsid w:val="0A7A4BF8"/>
    <w:rsid w:val="0C271BDC"/>
    <w:rsid w:val="0C655391"/>
    <w:rsid w:val="0C9B2AAF"/>
    <w:rsid w:val="0C9D6311"/>
    <w:rsid w:val="0EC27E2B"/>
    <w:rsid w:val="0F7831E9"/>
    <w:rsid w:val="0FD05F0D"/>
    <w:rsid w:val="102A02B4"/>
    <w:rsid w:val="113C222C"/>
    <w:rsid w:val="117D3DC1"/>
    <w:rsid w:val="12BB6B15"/>
    <w:rsid w:val="133022E5"/>
    <w:rsid w:val="139D09F2"/>
    <w:rsid w:val="139F05E2"/>
    <w:rsid w:val="1420329B"/>
    <w:rsid w:val="197B4A4A"/>
    <w:rsid w:val="1A6C21CC"/>
    <w:rsid w:val="1A9C51B3"/>
    <w:rsid w:val="1D43057F"/>
    <w:rsid w:val="201050E3"/>
    <w:rsid w:val="22C04974"/>
    <w:rsid w:val="2322611D"/>
    <w:rsid w:val="242D465D"/>
    <w:rsid w:val="24386026"/>
    <w:rsid w:val="24BA4D7A"/>
    <w:rsid w:val="255ACE19"/>
    <w:rsid w:val="25937659"/>
    <w:rsid w:val="25BB470F"/>
    <w:rsid w:val="2AEF7839"/>
    <w:rsid w:val="2B954793"/>
    <w:rsid w:val="2CCF1EB4"/>
    <w:rsid w:val="2D75004E"/>
    <w:rsid w:val="2EB73F78"/>
    <w:rsid w:val="2F755285"/>
    <w:rsid w:val="2F7E4D16"/>
    <w:rsid w:val="30FE1C95"/>
    <w:rsid w:val="311D07EA"/>
    <w:rsid w:val="316F2767"/>
    <w:rsid w:val="346F6D35"/>
    <w:rsid w:val="34966CE6"/>
    <w:rsid w:val="35FE77F6"/>
    <w:rsid w:val="37A269EC"/>
    <w:rsid w:val="37C3A5F6"/>
    <w:rsid w:val="3A13195A"/>
    <w:rsid w:val="3A6F4C5B"/>
    <w:rsid w:val="3AED2D76"/>
    <w:rsid w:val="3B5969EB"/>
    <w:rsid w:val="3C6F4D9E"/>
    <w:rsid w:val="3D7B55E9"/>
    <w:rsid w:val="3D7B5B80"/>
    <w:rsid w:val="3ED31DEB"/>
    <w:rsid w:val="3F3B1C0A"/>
    <w:rsid w:val="3FAB23B3"/>
    <w:rsid w:val="3FBD0758"/>
    <w:rsid w:val="415458A4"/>
    <w:rsid w:val="41E45A58"/>
    <w:rsid w:val="420113E2"/>
    <w:rsid w:val="441C623C"/>
    <w:rsid w:val="44D553A2"/>
    <w:rsid w:val="45525C2D"/>
    <w:rsid w:val="462C0466"/>
    <w:rsid w:val="46A157C5"/>
    <w:rsid w:val="4A2D7DE0"/>
    <w:rsid w:val="4BAE074B"/>
    <w:rsid w:val="4C821D3F"/>
    <w:rsid w:val="4CF948A9"/>
    <w:rsid w:val="4DC018A9"/>
    <w:rsid w:val="4DDF1DD3"/>
    <w:rsid w:val="4EEC118F"/>
    <w:rsid w:val="4F501FB7"/>
    <w:rsid w:val="4FC66330"/>
    <w:rsid w:val="4FFE9533"/>
    <w:rsid w:val="52C23B06"/>
    <w:rsid w:val="538E57C4"/>
    <w:rsid w:val="568721D9"/>
    <w:rsid w:val="57FF8163"/>
    <w:rsid w:val="58521D82"/>
    <w:rsid w:val="599A71FE"/>
    <w:rsid w:val="59C81175"/>
    <w:rsid w:val="5B0E2FCD"/>
    <w:rsid w:val="5C2F54E1"/>
    <w:rsid w:val="5CEF1216"/>
    <w:rsid w:val="5E0A0880"/>
    <w:rsid w:val="5E7E60AF"/>
    <w:rsid w:val="5F5F3BC9"/>
    <w:rsid w:val="5FF373F4"/>
    <w:rsid w:val="607C26CB"/>
    <w:rsid w:val="621E65A6"/>
    <w:rsid w:val="647130B8"/>
    <w:rsid w:val="65A800C7"/>
    <w:rsid w:val="664A5902"/>
    <w:rsid w:val="67B34B56"/>
    <w:rsid w:val="69F338F6"/>
    <w:rsid w:val="6AF61EE6"/>
    <w:rsid w:val="6C0463D1"/>
    <w:rsid w:val="6C5201D7"/>
    <w:rsid w:val="6CE00250"/>
    <w:rsid w:val="6E352CF9"/>
    <w:rsid w:val="6E5E04D2"/>
    <w:rsid w:val="6FCA23F3"/>
    <w:rsid w:val="70017B8E"/>
    <w:rsid w:val="71BD63E3"/>
    <w:rsid w:val="720A22CF"/>
    <w:rsid w:val="720C3200"/>
    <w:rsid w:val="77733780"/>
    <w:rsid w:val="781B43AD"/>
    <w:rsid w:val="79466CDF"/>
    <w:rsid w:val="7B576920"/>
    <w:rsid w:val="7B7216BD"/>
    <w:rsid w:val="7BD6FD13"/>
    <w:rsid w:val="7CE6EB2F"/>
    <w:rsid w:val="7D7B34EB"/>
    <w:rsid w:val="7DBD4572"/>
    <w:rsid w:val="7E950E3B"/>
    <w:rsid w:val="7FA63F3D"/>
    <w:rsid w:val="7FBF5ADC"/>
    <w:rsid w:val="7FEF2879"/>
    <w:rsid w:val="7FFF91D5"/>
    <w:rsid w:val="7FFF9A7F"/>
    <w:rsid w:val="987F309E"/>
    <w:rsid w:val="A57E5272"/>
    <w:rsid w:val="CBF27EF6"/>
    <w:rsid w:val="F39729D3"/>
    <w:rsid w:val="FFDF8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120"/>
      <w:lang w:val="en-US" w:eastAsia="zh-CN" w:bidi="ar-SA"/>
    </w:rPr>
  </w:style>
  <w:style w:type="paragraph" w:styleId="5">
    <w:name w:val="heading 2"/>
    <w:next w:val="1"/>
    <w:qFormat/>
    <w:uiPriority w:val="0"/>
    <w:pPr>
      <w:widowControl w:val="0"/>
      <w:spacing w:line="560" w:lineRule="exact"/>
      <w:ind w:firstLine="200" w:firstLineChars="200"/>
      <w:jc w:val="both"/>
      <w:outlineLvl w:val="1"/>
    </w:pPr>
    <w:rPr>
      <w:rFonts w:hint="eastAsia" w:ascii="宋体" w:hAnsi="宋体" w:eastAsia="楷体_GB2312" w:cs="Times New Roman"/>
      <w:kern w:val="2"/>
      <w:sz w:val="32"/>
      <w:szCs w:val="36"/>
      <w:lang w:val="en-US" w:eastAsia="zh-CN" w:bidi="ar-SA"/>
    </w:rPr>
  </w:style>
  <w:style w:type="paragraph" w:styleId="6">
    <w:name w:val="heading 3"/>
    <w:basedOn w:val="1"/>
    <w:next w:val="1"/>
    <w:link w:val="20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line="560" w:lineRule="exact"/>
      <w:ind w:firstLine="420" w:firstLineChars="200"/>
    </w:pPr>
    <w:rPr>
      <w:rFonts w:ascii="仿宋_GB2312" w:hAnsi="Calibri" w:eastAsia="仿宋_GB2312" w:cs="仿宋_GB231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7">
    <w:name w:val="index 5"/>
    <w:basedOn w:val="1"/>
    <w:next w:val="1"/>
    <w:qFormat/>
    <w:uiPriority w:val="0"/>
    <w:pPr>
      <w:ind w:left="1680"/>
    </w:pPr>
  </w:style>
  <w:style w:type="paragraph" w:styleId="8">
    <w:name w:val="Body Text"/>
    <w:basedOn w:val="1"/>
    <w:next w:val="2"/>
    <w:qFormat/>
    <w:uiPriority w:val="99"/>
    <w:pPr>
      <w:spacing w:after="120" w:line="600" w:lineRule="exact"/>
    </w:pPr>
    <w:rPr>
      <w:rFonts w:ascii="Calibri" w:hAnsi="Calibri" w:cs="Calibri"/>
      <w:sz w:val="21"/>
      <w:szCs w:val="21"/>
    </w:rPr>
  </w:style>
  <w:style w:type="paragraph" w:styleId="9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Body Text First Indent"/>
    <w:basedOn w:val="8"/>
    <w:qFormat/>
    <w:uiPriority w:val="0"/>
    <w:pPr>
      <w:ind w:firstLine="420" w:firstLineChars="100"/>
    </w:p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FollowedHyperlink"/>
    <w:basedOn w:val="14"/>
    <w:qFormat/>
    <w:uiPriority w:val="0"/>
    <w:rPr>
      <w:color w:val="3D3D3D"/>
      <w:u w:val="none"/>
    </w:rPr>
  </w:style>
  <w:style w:type="character" w:styleId="17">
    <w:name w:val="Hyperlink"/>
    <w:basedOn w:val="14"/>
    <w:qFormat/>
    <w:uiPriority w:val="0"/>
    <w:rPr>
      <w:color w:val="3D3D3D"/>
      <w:u w:val="none"/>
    </w:rPr>
  </w:style>
  <w:style w:type="character" w:customStyle="1" w:styleId="18">
    <w:name w:val="标题 3 Char"/>
    <w:qFormat/>
    <w:uiPriority w:val="0"/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0">
    <w:name w:val="标题 3 Char1"/>
    <w:link w:val="6"/>
    <w:qFormat/>
    <w:uiPriority w:val="0"/>
    <w:rPr>
      <w:rFonts w:eastAsia="楷体_GB2312"/>
      <w:kern w:val="2"/>
      <w:sz w:val="32"/>
      <w:szCs w:val="24"/>
      <w:lang w:val="en-US" w:eastAsia="zh-CN" w:bidi="ar-SA"/>
    </w:rPr>
  </w:style>
  <w:style w:type="table" w:customStyle="1" w:styleId="2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3232</Words>
  <Characters>3325</Characters>
  <Lines>1</Lines>
  <Paragraphs>1</Paragraphs>
  <TotalTime>4</TotalTime>
  <ScaleCrop>false</ScaleCrop>
  <LinksUpToDate>false</LinksUpToDate>
  <CharactersWithSpaces>3429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2022-08-26T21:34:00Z</dcterms:created>
  <dc:creator>lenovo</dc:creator>
  <cp:lastModifiedBy>看淡了</cp:lastModifiedBy>
  <dcterms:modified xsi:type="dcterms:W3CDTF">2022-09-22T08:23:15Z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560FF487C4714CFC8CB87022202BA518</vt:lpwstr>
  </property>
</Properties>
</file>