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4" w:lineRule="exac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附件</w:t>
      </w:r>
      <w:r>
        <w:rPr>
          <w:rFonts w:hint="eastAsia" w:ascii="黑体" w:eastAsia="黑体"/>
          <w:color w:val="000000"/>
          <w:sz w:val="24"/>
        </w:rPr>
        <w:t>1</w:t>
      </w:r>
    </w:p>
    <w:p>
      <w:pPr>
        <w:widowControl/>
        <w:spacing w:line="414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widowControl/>
        <w:spacing w:line="414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《山东省工伤职工停工留薪期分类目录》</w:t>
      </w:r>
    </w:p>
    <w:p>
      <w:pPr>
        <w:widowControl/>
        <w:spacing w:line="414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使用说明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1.本目录中的停工留薪期是针对身体的不同部位遭受原发性损伤后，进行治疗和恢复所需要的时间。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伤害部位按国际疾病分类（ICD-10）中的损伤类型，分为头部损伤；颈部损伤；胸部损伤；腹部、腰背部、腰椎和骨盆损伤；肩和上臂损伤；肘和前臂损伤；腕和手损伤；髋和大腿损伤；膝和小腿损伤；踝和足损伤；身体多部位损伤；躯干、四肢或未特指部位损伤；异物滞留；烧伤和腐蚀伤，冻伤等十五类，共列伤害部位441条。各伤害部位编码是按ICD-10中的编码进行编排。职业病分列七类，61种常见职业病，各类中毒51种。有些临床发病较少职业病种未列其中，可根据职业病专家的意见确定停工留薪期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3.每一部位的损伤基本上均按浅表损伤，开放性伤口，骨折，关节脱位和韧带的损伤、扭伤，神经和十脊髓损伤，血管损伤，内部器官损伤，肌肉和肌腱损伤，挤压伤和切断伤划分。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4.浅表损伤包括：(1)擦伤；(2)挫伤（包括青肿和血肿）；(3)浅表异物所致的损伤不伴有大的开放性伤口。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5.开放性伤口包括：(1)动物咬伤；(2)切割伤；(3)撕裂伤；(4)穿刺伤。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6.骨折包括：(1)闭合性骨折（粉碎型、压缩型、掀起型、裂缝型、青枝型、嵌入型、线型、行军型、单纯型、骨骺滑脱型、螺旋型）；(2)开放性骨折（哆开型、感染型、枪弹型、穿刺型）。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7.脱位、扭伤包括：关节（囊）以及韧带的(1)撕脱；(2)撕裂伤；(3)扭伤；(4)创伤性（关节积血、破裂、不全脱位、撕裂）。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8.神经和脊髓损伤包括</w:t>
      </w:r>
      <w:r>
        <w:rPr>
          <w:rFonts w:ascii="宋体" w:hAnsi="宋体" w:cs="宋体"/>
          <w:color w:val="000000"/>
          <w:kern w:val="0"/>
          <w:sz w:val="24"/>
        </w:rPr>
        <w:t>：(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脊髓的完全性或不完全性损伤；(2)神经损伤；(3)创伤性（神经切断、脊髓出血、麻痹、截瘫、四肢瘫）。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9.血管损伤包括：(1)撕脱；(2)切割伤；(3)撕裂伤；(4)创伤性（动脉瘤或瘘、动脉血肿、破裂）。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10.肌肉和肌腱损伤包括：(1)撕脱；(2)切割伤；(3)撕裂伤；(4)创伤性破裂。</w:t>
      </w:r>
    </w:p>
    <w:p>
      <w:pPr>
        <w:spacing w:line="414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11.本目录是指治疗各种原发性损伤所需的时间，不与各种后遗症相对应。各种原发性损伤造成的后遗症，是损伤造成的后果。</w:t>
      </w:r>
      <w:bookmarkStart w:id="0" w:name="_GoBack"/>
      <w:bookmarkEnd w:id="0"/>
    </w:p>
    <w:p>
      <w:pPr>
        <w:spacing w:line="414" w:lineRule="exact"/>
        <w:rPr>
          <w:rFonts w:hint="eastAsia" w:ascii="仿宋_GB2312"/>
          <w:color w:val="000000"/>
          <w:sz w:val="24"/>
        </w:rPr>
      </w:pPr>
    </w:p>
    <w:p>
      <w:pPr>
        <w:spacing w:line="414" w:lineRule="exact"/>
        <w:rPr>
          <w:rFonts w:hint="eastAsia" w:ascii="仿宋_GB2312"/>
          <w:color w:val="000000"/>
          <w:sz w:val="24"/>
        </w:rPr>
      </w:pPr>
    </w:p>
    <w:p>
      <w:pPr>
        <w:spacing w:line="414" w:lineRule="exact"/>
        <w:rPr>
          <w:rFonts w:hint="eastAsia" w:ascii="仿宋_GB2312"/>
          <w:color w:val="000000"/>
          <w:sz w:val="24"/>
        </w:rPr>
      </w:pPr>
    </w:p>
    <w:p>
      <w:pPr>
        <w:spacing w:line="414" w:lineRule="exact"/>
        <w:rPr>
          <w:rFonts w:hint="eastAsia" w:ascii="黑体" w:eastAsia="黑体"/>
          <w:color w:val="000000"/>
          <w:sz w:val="24"/>
        </w:rPr>
      </w:pPr>
      <w:r>
        <w:rPr>
          <w:rFonts w:hAnsi="宋体"/>
          <w:color w:val="000000"/>
          <w:sz w:val="24"/>
        </w:rPr>
        <w:br w:type="page"/>
      </w:r>
      <w:r>
        <w:rPr>
          <w:rFonts w:hint="eastAsia" w:ascii="黑体" w:hAnsi="宋体" w:eastAsia="黑体"/>
          <w:color w:val="000000"/>
          <w:sz w:val="24"/>
        </w:rPr>
        <w:t>附件</w:t>
      </w:r>
      <w:r>
        <w:rPr>
          <w:rFonts w:hint="eastAsia" w:ascii="黑体" w:eastAsia="黑体"/>
          <w:color w:val="000000"/>
          <w:sz w:val="24"/>
        </w:rPr>
        <w:t>2</w:t>
      </w:r>
    </w:p>
    <w:p>
      <w:pPr>
        <w:spacing w:line="414" w:lineRule="exact"/>
        <w:rPr>
          <w:rFonts w:hint="eastAsia" w:ascii="黑体" w:eastAsia="黑体"/>
          <w:color w:val="000000"/>
          <w:sz w:val="24"/>
        </w:rPr>
      </w:pPr>
    </w:p>
    <w:p>
      <w:pPr>
        <w:spacing w:line="414" w:lineRule="exact"/>
        <w:jc w:val="center"/>
        <w:rPr>
          <w:rFonts w:hint="eastAsia" w:ascii="方正小标宋简体" w:hAnsi="文星标宋" w:eastAsia="方正小标宋简体"/>
          <w:color w:val="000000"/>
          <w:sz w:val="32"/>
          <w:szCs w:val="32"/>
        </w:rPr>
      </w:pPr>
      <w:r>
        <w:rPr>
          <w:rFonts w:hint="eastAsia" w:ascii="方正小标宋简体" w:hAnsi="文星标宋" w:eastAsia="方正小标宋简体"/>
          <w:color w:val="000000"/>
          <w:sz w:val="32"/>
          <w:szCs w:val="32"/>
        </w:rPr>
        <w:t>山东省工伤职工停工留薪期确认通知书</w:t>
      </w:r>
    </w:p>
    <w:p>
      <w:pPr>
        <w:spacing w:line="414" w:lineRule="exact"/>
        <w:rPr>
          <w:rFonts w:ascii="宋体" w:hAnsi="宋体"/>
          <w:color w:val="000000"/>
          <w:sz w:val="24"/>
        </w:rPr>
      </w:pPr>
    </w:p>
    <w:p>
      <w:pPr>
        <w:spacing w:line="414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身份证号码：</w:t>
      </w:r>
      <w:r>
        <w:rPr>
          <w:rFonts w:ascii="宋体" w:hAnsi="宋体"/>
          <w:color w:val="000000"/>
          <w:sz w:val="24"/>
          <w:u w:val="single"/>
        </w:rPr>
        <w:t xml:space="preserve">                       </w:t>
      </w:r>
    </w:p>
    <w:p>
      <w:pPr>
        <w:spacing w:line="414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单位：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ascii="宋体" w:hAnsi="宋体"/>
          <w:color w:val="000000"/>
          <w:sz w:val="24"/>
        </w:rPr>
        <w:t xml:space="preserve"> 伤害部位：</w:t>
      </w:r>
      <w:r>
        <w:rPr>
          <w:rFonts w:ascii="宋体" w:hAnsi="宋体"/>
          <w:color w:val="000000"/>
          <w:sz w:val="24"/>
          <w:u w:val="single"/>
        </w:rPr>
        <w:t xml:space="preserve">             </w:t>
      </w:r>
    </w:p>
    <w:p>
      <w:pPr>
        <w:spacing w:line="414" w:lineRule="exact"/>
        <w:rPr>
          <w:rFonts w:ascii="宋体" w:hAnsi="宋体"/>
          <w:color w:val="000000"/>
          <w:sz w:val="24"/>
          <w:u w:val="single"/>
        </w:rPr>
      </w:pPr>
    </w:p>
    <w:p>
      <w:pPr>
        <w:spacing w:line="414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根据《山东省工伤职工停工留薪期管理办法》分类目录与医疗机构诊断证明，经确认，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ascii="宋体" w:hAnsi="宋体"/>
          <w:color w:val="000000"/>
          <w:sz w:val="24"/>
        </w:rPr>
        <w:t>同志停工留薪期为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个月（自    年  月  日至    年  月  日）。</w:t>
      </w:r>
    </w:p>
    <w:p>
      <w:pPr>
        <w:spacing w:line="414" w:lineRule="exact"/>
        <w:ind w:firstLine="630"/>
        <w:rPr>
          <w:rFonts w:ascii="宋体" w:hAnsi="宋体"/>
          <w:color w:val="000000"/>
          <w:sz w:val="24"/>
        </w:rPr>
      </w:pPr>
    </w:p>
    <w:p>
      <w:pPr>
        <w:spacing w:line="414" w:lineRule="exact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工伤职工停工留薪期满，不能恢复工作仍需治疗的，应在期满前5个工作日内向本单位提出延长停工留薪期的书面申请，并提交协议医疗机构出具的休假证明。用人单位同意后，可以延长停工留薪期。</w:t>
      </w:r>
    </w:p>
    <w:p>
      <w:pPr>
        <w:spacing w:line="414" w:lineRule="exact"/>
        <w:ind w:firstLine="480" w:firstLineChars="20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工伤职工或者其直系亲属、工会组织未在规定的时间内提出延长停工留薪期申请的，停工留薪期终止。</w:t>
      </w:r>
    </w:p>
    <w:p>
      <w:pPr>
        <w:spacing w:line="414" w:lineRule="exact"/>
        <w:ind w:firstLine="630"/>
        <w:rPr>
          <w:rFonts w:ascii="宋体" w:hAnsi="宋体"/>
          <w:color w:val="000000"/>
          <w:kern w:val="0"/>
          <w:sz w:val="24"/>
        </w:rPr>
      </w:pPr>
    </w:p>
    <w:p>
      <w:pPr>
        <w:spacing w:line="414" w:lineRule="exact"/>
        <w:ind w:firstLine="4908" w:firstLineChars="2045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（单位盖章）</w:t>
      </w:r>
    </w:p>
    <w:p>
      <w:pPr>
        <w:spacing w:line="414" w:lineRule="exact"/>
        <w:ind w:firstLine="5028" w:firstLineChars="2095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年  月  日</w:t>
      </w:r>
    </w:p>
    <w:p>
      <w:pPr>
        <w:spacing w:line="414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414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414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此通知一式两份，用人单位、工伤职工各一份。</w:t>
      </w:r>
    </w:p>
    <w:p>
      <w:pPr>
        <w:spacing w:line="414" w:lineRule="exact"/>
        <w:jc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spacing w:line="414" w:lineRule="exact"/>
        <w:rPr>
          <w:rFonts w:hint="eastAsia" w:ascii="黑体" w:hAnsi="宋体" w:eastAsia="黑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br w:type="page"/>
      </w:r>
      <w:r>
        <w:rPr>
          <w:rFonts w:hint="eastAsia" w:ascii="黑体" w:hAnsi="宋体" w:eastAsia="黑体"/>
          <w:color w:val="000000"/>
          <w:sz w:val="24"/>
        </w:rPr>
        <w:t>附件3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山东省工伤职工延长停工留薪期确认申请表</w:t>
      </w:r>
    </w:p>
    <w:tbl>
      <w:tblPr>
        <w:tblStyle w:val="5"/>
        <w:tblW w:w="7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824"/>
        <w:gridCol w:w="616"/>
        <w:gridCol w:w="812"/>
        <w:gridCol w:w="1036"/>
        <w:gridCol w:w="20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0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致伤时间</w:t>
            </w: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伤害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部位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临床诊断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医院名称</w:t>
            </w:r>
          </w:p>
        </w:tc>
        <w:tc>
          <w:tcPr>
            <w:tcW w:w="20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系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人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39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原停工留薪期：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月（自    年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日至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年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2372" w:type="dxa"/>
            <w:gridSpan w:val="3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损伤部位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恢复情况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及申请理由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/>
                <w:color w:val="000000"/>
                <w:szCs w:val="21"/>
              </w:rPr>
              <w:t>工伤职工签名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3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spacing w:line="300" w:lineRule="exact"/>
              <w:ind w:right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ind w:right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</w:t>
            </w:r>
          </w:p>
          <w:p>
            <w:pPr>
              <w:spacing w:line="300" w:lineRule="exact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3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劳动能力鉴定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委员会受理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465" w:firstLineChars="16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300" w:lineRule="exact"/>
              <w:ind w:firstLine="3255" w:firstLineChars="15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  <w:jc w:val="center"/>
        </w:trPr>
        <w:tc>
          <w:tcPr>
            <w:tcW w:w="7397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体检情况：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7397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专家组鉴定意见：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专家签字：</w:t>
            </w:r>
          </w:p>
          <w:p>
            <w:pPr>
              <w:spacing w:line="300" w:lineRule="exact"/>
              <w:ind w:firstLine="5460" w:firstLineChars="2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劳动能力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鉴定委员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会确认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结论</w:t>
            </w:r>
          </w:p>
        </w:tc>
        <w:tc>
          <w:tcPr>
            <w:tcW w:w="6465" w:type="dxa"/>
            <w:gridSpan w:val="6"/>
            <w:vAlign w:val="center"/>
          </w:tcPr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3150" w:firstLineChars="15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（盖章）</w:t>
            </w:r>
          </w:p>
          <w:p>
            <w:pPr>
              <w:spacing w:line="300" w:lineRule="exact"/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 注</w:t>
            </w:r>
          </w:p>
        </w:tc>
        <w:tc>
          <w:tcPr>
            <w:tcW w:w="64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00" w:lineRule="exact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此表一式四份，经办机构、用人单位、个人、劳动能力鉴定委员会各一份。</w:t>
      </w:r>
    </w:p>
    <w:p>
      <w:pPr>
        <w:widowControl/>
        <w:tabs>
          <w:tab w:val="left" w:pos="1371"/>
          <w:tab w:val="left" w:pos="2329"/>
          <w:tab w:val="left" w:pos="6271"/>
        </w:tabs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宋体" w:hAnsi="宋体"/>
          <w:color w:val="000000"/>
          <w:szCs w:val="21"/>
        </w:rPr>
        <w:br w:type="page"/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山东省工伤职工停工留薪期分类目录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57"/>
        <w:gridCol w:w="189"/>
        <w:gridCol w:w="417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6967" w:type="dxa"/>
            <w:gridSpan w:val="4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伤  害  部  位</w:t>
            </w:r>
          </w:p>
        </w:tc>
        <w:tc>
          <w:tcPr>
            <w:tcW w:w="155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停工留薪期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67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头面部损伤（S00-S09）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头部浅表损伤S00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头部头皮开放性伤口S01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颅骨和面骨骨折S02</w:t>
            </w: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颅骨穹隆骨折S02.0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单纯颅底骨折S02.1(如伴CSF漏或并发颅内感染,需在完全控制后)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鼻骨骨折S02.2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单纯眶底骨折S02.3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颧骨和上颌骨骨折S02.4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牙折断S02.5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下颌骨骨折S02.6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累及颅骨和面骨的多发性骨折S02.7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其他颅骨和面骨骨折S02.8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头部的关节和韧带脱位、扭伤S03</w:t>
            </w: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颌关节脱位S03.0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鼻中隔软骨脱位S03.1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牙脱位S03.2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颅神经损伤S04</w:t>
            </w: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视神经和视路损伤S04.0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动眼神经损伤S04.1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滑车神经损伤S04.2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三叉神经损伤S04.3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展神经损伤S04.4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面神经损伤S04.5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听神经损伤S04.6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副神经损伤S04.7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其他颅神经损伤S04.8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眼和眶损伤S05</w:t>
            </w: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结膜和角膜擦伤(深层)S05.0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眼球和眶组织轻度挫伤S05.1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眼撕裂伤和破裂，伴有眼内组织脱出或缺失S05.2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眼撕裂伤和破裂，不伴有眼内组织脱出或缺失S05.3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眶穿透性伤口，伴有或不伴有异物S05.4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眼球穿透性伤口，伴有异物S05.5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眼球穿透性伤口，不伴有异物S05.6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眼撕脱伤S05.7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眼和眶的其他损伤S05.8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头面部损伤（S00-S09）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颅内损伤S06</w:t>
            </w: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脑震荡S06.0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硬膜外出血S06.4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创伤性硬膜下出血S06.5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创伤性蛛网膜下出血S06.6(不伴有脑室扩大)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其他颅内损伤S06.7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硬膜下积液S06.8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慢性脑膜下血肿S06.9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脑挫裂伤S06.10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脑干损伤S06.11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头部软组织挤压伤S07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头面的部分创伤性切断S08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头皮撕脱S08.0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耳创伤性切断S08.1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头面部其他部位的创伤性切断S08.8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头面部未特指部位的创伤性切断S08.9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头部其他和未特指的损伤S09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头部血管损伤S09.0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头部肌肉和肌腱损伤S09.1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耳鼓膜创伤性破裂S09.2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头部多发性损伤S09.7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颈部损伤（S10-S19）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颈部浅表损伤S10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颈部开放性伤口S11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颈部骨折S12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第一颈椎骨折S12.0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第二颈椎骨折S12.1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颈部脊柱多发性骨折S12.7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颈部其他部位的骨折S12.8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颈部水平的关节和韧带脱位、扭伤S13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颈部椎间盘创伤性破裂S13.0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颈椎脱位S13.1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颈部多发性脱位S13.3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颈部扭伤S13.4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甲状腺区扭伤S13.5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颈部水平的神经和脊髓损伤S14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颈部脊髓的震荡和水肿S14.0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颈部脊柱神经根的损伤S14.2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臂丛神经损伤（如神经移位加移植手术18月）S14.3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颈部周围神经损伤S14.4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颈部交感神经损伤S14.5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颈部水平的血管损伤S15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颈动脉损伤S15.0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颈部多处血管的损伤S15.7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颈部挤压伤S17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胸部损伤（S20-S29）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胸部浅表损伤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S20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乳房挫伤S20.0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胸部挫伤S20.2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胸部多处浅表损伤S20.7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胸部损伤（S20-S29）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胸部开放性伤口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S21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肋骨、胸骨和胸部脊柱骨折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S22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胸椎骨折S22.0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胸部脊柱多发性骨折S22.1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胸骨骨折S22.2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肋骨骨折S22.3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肋骨多发性骨折S22.4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骨性胸廓其他部位骨折S22.8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胸部关节的脱位和韧带扭伤S23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胸部椎间盘创伤性破裂S23.0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胸椎脱位S23.1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胸部脊柱扭伤S23.3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肋骨和胸骨扭伤S23.4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胸部水平的神经和脊髓损伤S24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胸部脊髓的震荡和水肿S24.0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胸部脊柱神经根损伤S24.2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胸部周围神经损伤S24.3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胸部交感神经损伤S24.4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胸部血管损伤S25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心脏损伤S26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其他和未特指的胸内器官损伤S27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创伤性气胸S27.0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创伤性血胸S27.1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创伤性血气胸S27.2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肺的其他损伤S27.3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支气管损伤S27.4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胸部气管损伤S27.5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胸膜损伤S27.6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其他胸内器官损伤S27.8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胸部挤压伤和胸的部分创伤性切断S28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胸部挤压伤S28.0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胸的部分创伤性切断S28.1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胸部其他和未特指的损伤S29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腹部、腰背部、腰椎和骨盆损伤（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S30-S39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腹部、腰背部和骨盆浅表损伤S30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腰背部和骨盆挫伤S30.0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腹壁挫伤S30.1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外生殖器挫伤S30.2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腹部、腰背部和骨盆开放性伤口S31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腰背部和骨盆开放性伤口S31.0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腹壁开放性伤口S31.1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外生殖器开放性伤口S31.2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腰部脊柱和骨盆骨折S32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腰部椎骨骨折S32.0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骶骨骨折S32.1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尾骨骨折S32.2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髂骨骨折S32.3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髋臼骨折S32.4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耻骨骨折S32.5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腹部、腰背部、腰椎和骨盆损伤（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S30-S39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腰部脊柱和骨盆的关节和韧带脱位、扭伤S33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腰椎间盘创伤性破裂S33.0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腰椎脱位S33.1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骶髂关节和骶尾关节的脱位S33.2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腰部脊柱扭伤S33.5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腰部脊柱和骨盆其他和未特指部位的扭伤S33.7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腹部、腰背部和骨盆水平的神经和腰部脊髓损伤S34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腰部和骶部脊柱神经根损伤S34.2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马尾损伤S34.3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腰骶丛损伤S34.4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腰部、骶部和骨盆交感神经损伤S34.5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腰部、腰背部和骨盆周围神经损伤S34.6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腹部、腰背部和骨盆水平的血管损伤S35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腹内器官损伤S36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脾损伤S36.0（轻度、中度、重度）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肝或胆道损伤S36.1（轻度、中度、重度）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腹内器官损伤S36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胰损伤S36.2（轻度、中度、重度）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胃损伤S36.3（轻度、中度、重度）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小肠损伤(十二指肠加倍)S36.4（轻度、中度、重度）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结肠损伤S36.5（轻度、中度、重度）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直肠损伤S36.6（轻度、中度、重度）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多个腹内器官损伤S36.7（轻度、中度、重度）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其他腹内器官损伤S36.8（轻度、中度、重度）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盆腔器官损伤S37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肾损伤S37.0（轻度、中度、重度）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输尿管损伤S37.1（轻度、中度、重度）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膀胱损伤S37.2（轻度、中度、重度）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尿道损伤S37.3（轻度、中度、重度）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卵巢损伤S37.4（轻度、中度、重度）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输卵管损伤S37.5（轻度、中度、重度）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子宫损伤S37.6（轻度、中度、重度）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其他盆腔器官损伤S37.8（轻度、中度、重度）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腹部、腰背部和骨盆的部分挤压伤和创伤性切断S38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外生殖器挤压伤S38.0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外生殖器创伤性切断S38.2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腹部、腰背部和骨盆其他和未特指的损伤S39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肩和上臂损伤（S40-49）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肩和上臂浅表损伤S40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肩和上臂开放性伤口S41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肩和上臂骨折S42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锁骨骨折S42.0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肩胛骨骨折S42.1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肱骨上端骨折S42.2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肱骨干骨折S42.3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肱骨下端骨折S42.4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肩和上臂其他部位的骨折S42.8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肩和上臂损伤（S40-49）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肩胛带的关节和韧带脱位、扭伤S43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肩关节脱位S43.0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肩锁关节脱位S43.1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胸锁关节脱位S43.2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肩关节扭伤S43.4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肩锁关节扭伤S43.5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胸锁关节扭伤S43.6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肩和上臂水平的神经损伤S44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上臂水平的尺神经损伤S44.0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上臂水平的正中神经损伤S44.1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上臂水平的桡神经损伤S44.2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上臂水平的其他神经损伤S44.8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肩和上臂的血管损伤S45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肩和上臂的肌肉和肌腱损伤S46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肩和上臂挤压伤S47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肩和上臂创伤性切断S48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肩关节处创伤性切断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肩和肘之间水平的创伤性切断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肩和上臂其他和未特指的损伤S49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肘和前臂损伤（S50-S59）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前臂浅表损伤S50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前臂开放性伤口S51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前臂骨折S52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尺骨上端骨折S52.0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桡骨上端骨折S52.1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尺骨干骨折S52.2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桡骨干骨折S52.3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尺骨、桡骨骨干骨折S52.6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桡骨远端骨折S52.5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尺骨、桡骨下端的骨折S52.4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肘关节和韧带脱位、扭伤S53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桡骨头脱位S53.0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肘关节脱位S53.1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桡侧副韧带创伤性破裂S53.2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尺侧副韧带创伤性破裂S53.3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肘关节扭伤S53.4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前臂水平的神经损伤S54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前臂水平的尺神经损伤S54.0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前臂水平的正中神经损伤S54.1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前臂水平的桡神经损伤S54.2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前臂的其他神经损伤S54.8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前臂水平的血管损伤S55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前臂水平的肌肉和肌腱损伤S56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前臂挤压伤S57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前臂创伤性切断S58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肘切断S58.0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肘和腕之间切断S58.1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前臂其他和未特指的损伤S59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腕和手损伤（S60-S68）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腕和手浅表损伤S60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腕和手开放性伤口S61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腕和手水平的骨折S62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手舟骨骨折S62.0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其他腕骨骨折S62.1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第一掌骨骨折S62.2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其他掌骨骨折S62.3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拇指骨折S62.5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其他手指骨折S62.6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腕和手水平的关节和韧带脱位、扭伤S63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腕关节脱位S63.0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指关节脱位S63.1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腕和腕关节韧带创伤性破裂S63.3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掌指和指间关节处的手指韧带创伤性破裂S63.4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腕关节扭伤S63.5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手指关节扭伤S63.6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腕和手水平的神经损伤S64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腕和手水平的尺神经损伤S64.0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腕和手水平的正中神经损伤S64.1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腕和手水平的桡神经损伤S64.2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拇指的神经损伤S64.3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其他手指的神经损伤S64.4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腕和手水平的其他神经损伤S64.8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腕和手水平的血管损伤S65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腕和手水平的肌肉和肌腱损伤S66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腕和手挤压伤S67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腕和手创伤性切断S68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拇指切断S68.0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其他单个手指切断S68.1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多个手指切断S68.2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手指伴有腕和手其他部分的创伤性切断S68.3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腕关节切断S68.4(手指离断再植术12个月)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髋和大腿损伤（S70-S78）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髋和大腿浅表损伤S70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髋和大腿开放性伤口S71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股骨骨折S72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股骨颈骨折S72.0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经大转子骨折S72.1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转子下骨折S72.2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股骨干骨折S72.3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股骨多发性骨折S72.7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髋的关节和韧带脱位、扭伤S73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髋脱位S73.0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髋扭伤S73.1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髋和大腿水平的神经损伤S74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髋和大腿水平的血管损伤S75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损伤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S70-S78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髋和大腿肌肉和肌腱损伤S76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髋和大腿挤压伤S77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髋和大腿创伤性切断S78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膝和小腿损伤（S80-S88）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小腿浅表损伤S80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小腿开放性伤口S81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小腿骨折，包括踝S82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髌骨骨折S82.0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胫骨上端骨折S82.1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胫骨骨干骨折S82.2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胫骨下端骨折S82.3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腓骨骨折S82.4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内踝骨折S82.5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外踝骨折S82.6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小腿多发性骨折S82.7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膝关节和韧带脱位、扭伤S83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髌骨脱位S83.0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膝关节脱位S83.1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半月板撕裂S83.2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膝关节和韧带脱位、扭伤S83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膝关节软骨撕裂S83.3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膝关节多发性损伤S83.7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小腿水平的神经损伤S84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小腿水平的血管损伤S85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小腿水平的肌肉和肌健损伤S86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小腿挤压伤S87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小腿创伤切断S88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膝切断S88.0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膝和踝之间的切断S88.1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踝和足损伤(S90-S99)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踝和足浅表损伤S90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踝和足开放性伤口S91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足骨折，(除外踝)S92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跟骨骨折S92.0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距骨骨折S92.1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其他跗骨骨折S92.2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跖骨骨折S92.3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▲趾骨折S92.4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其他趾骨折S92.5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足多发性骨折S92.7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踝和足水平的关节和韧带脱位、扭伤S93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踝关节脱位S93.0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足趾脱位S93.1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踝和足水平的韧带破裂S93.2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足的其他部位脱位S93.3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踝扭伤S93.4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足趾扭伤S93.5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踝和足损伤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(S90-S99)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踝和足水平的神经损伤S94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足底外侧神经损伤S94.0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足底内侧神经损伤S94.1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踝和足水平的腓深神经损伤S94.2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踝和足水平的皮感觉神经损伤S94.3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踝和足水平的多神经损伤S94.7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踝和足水平的其他神经损伤S94.8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踝和足水平的血管损伤S95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踝和足水平的肌肉和肌健损伤S96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踝和足挤压伤S97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踝和足创伤性切断S98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累及身体多个部位的损伤（T00-T07）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累及身体多个部位的浅表损伤T00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头和颈的浅表损伤T00.0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胸并伴有腹、下背和骨盆的浅表损伤T00.1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上肢多个部位的浅表损伤T00.2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下肢多个部位的浅表损伤T00.3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上肢和下肢多个部位的浅表损伤T00.4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其他复合部位的浅表损伤T00.8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累及身体多个部位的开放性伤口T01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头和颈的开放性伤口T01.0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胸并伴有腹、下背和骨盆的开放性伤口T01.1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上肢多个部位的开放性伤口T01.2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下肢多个部位的开放性伤口T01.3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上肢和下肢多个部位的开放性伤口T01.4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其他复合部位的开放性伤口T01.8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累及身体多个部位的骨折T02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头和颈的骨折T02.0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胸并伴有腹、下背和骨盆的骨折T02.1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上肢多个部位的骨折T02.2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下肢多个部位的骨折T02.3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上肢和下肢多个部位的骨折T02.4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其他复合部位的骨折T02.8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累及身体多个部位的脱位、扭伤T03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头和颈的脱位、扭伤T03.0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胸并伴有腹、下背和骨盆的脱位、扭伤T03.1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上肢多个部位的脱位、扭伤T03.2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下肢多个部位的脱位、扭伤T03.3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上肢和下肢多个部位的脱位、扭伤T03.4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其他复合部位的脱位、扭伤T03.8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累及身体多个部位的挤压伤T04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头和颈的挤压伤T04.0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胸并伴有腹、腰背部和骨盆的挤压伤T04.1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上肢多个部位的挤压伤T04.2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下肢多个部位的挤压伤T04.3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上肢和下肢多个部位的挤压伤T04.4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胸并伴有腹、下背和骨盆及四肢的挤压伤T04.7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其他复合部位的挤压伤T04.8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累及身体多个部位的损伤（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T00-T07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累及身体多个部位的创伤性切断T05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双手创伤性切断T05.0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一只手和另一臂创伤性切断T05.1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双臂创伤性切断T05.2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双足创伤性切断T05.3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一只足和另一腿创伤性切断T05.4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双小腿创伤性切断T05.5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上肢和下肢任何组织创伤性切断T05.6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躯干、四肢或身体未特指部位的损伤（T08-T14）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脊柱骨折，水平未特指T08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脊柱和躯干的其他损伤，水平未特指T09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躯干浅表损伤，水平未特指T09.0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躯干开放性伤口，水平未特指T09.1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躯干未特指关节和韧带的脱位、扭伤和劳损T09.2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脊髓损伤T09.3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躯干未特指神经、脊神经根和神经丛损伤T09.4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躯干未特指肌肉和肌腱损伤T09.5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躯干创伤性切断，水平未特指T09.6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上肢骨折，水平未特指T10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上肢的其他损伤，水平未特指T11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上肢浅表损伤，水平未特指T11.0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上肢开放性伤口，水平未特指T11.1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上肢未特指关节和韧带的脱位、扭伤和劳损T11.2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上肢未特指神经的损伤T11.3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上肢未特指血管的损伤T11.4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上肢未特指肌肉和肌腱的损伤T11.5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上肢创伤性切断T11.6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下肢骨折，水平未特指T12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下肢的其他损伤，水平未特指T13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下肢浅表损伤，水平未特指T13.0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下肢开放性伤口，水平未特指T13.1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下肢未特指关节和韧带的脱位、扭伤和劳损T13.2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下肢未特指神经的损伤T13.3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下肢未特指血管的损伤T13.4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下肢未特指肌肉和肌腱的损伤T13.5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下肢创伤性切断T13.6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通过自然腔口进入异物的效应（T15-T19）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外眼异物T15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角膜异物T15.0（浅层，深层）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个周，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结膜囊异物T15.1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外眼其他和多处部位内异物T15.8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耳内异物T16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呼吸道内异物T17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鼻窦内异物T17.0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鼻孔内异物T17.1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咽内异物T17.2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喉内异物T17.3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气管内异物T17.4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支气管内异物T17.5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呼吸道其他和多处部位内异物T17.8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烧伤和腐蚀伤（T20-T32）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头和颈烧伤和腐蚀伤T20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一度烧伤T20.1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二度烧伤T20.2(浅二度,深二度)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三度烧伤T20.3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一度腐蚀伤T20.5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二度腐蚀伤T20.6(浅二度,深二度)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三度腐蚀伤T20.7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躯干烧伤和腐蚀伤T21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一度烧伤T21.1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二度烧伤T21.2(浅二度,深二度)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三度烧伤T21.3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一度腐蚀伤T21.5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二度腐蚀伤T21.6(浅二度,深二度)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三度腐蚀伤T21.7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肩和上肢烧伤和腐蚀伤，(除外腕和手)T22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一度烧伤T22.1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二度烧伤T22.2(浅二度,深二度)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三度烧伤T22.3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一度腐蚀伤T22.5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二度腐蚀伤T22.6(浅二度,深二度)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三度腐蚀伤T22.7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腕和手烧伤和腐蚀伤T23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一度烧伤T23.1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二度烧伤T23.2(浅二度,深二度)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三度烧伤T23.3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腕和手烧伤和腐蚀伤T23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一度腐蚀伤T23.5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二度腐蚀伤T23.6(浅二度,深二度)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三度腐蚀伤T23.7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髋和下肢烧伤和腐蚀伤，(除外踝和足)T24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一度烧伤T24.1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二度烧伤T24.2(浅二度,深二度)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三度烧伤T24.3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一度腐蚀伤T24.5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二度腐蚀伤T24.6(浅二度,深二度,)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三度腐蚀伤T24.7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踝和足烧伤和腐蚀伤T25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一度烧伤T25.1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二度烧伤T25.2(浅二度,深二度,)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三度烧伤T25.3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一度腐蚀伤T25.5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二度腐蚀伤T25.6(浅二度,深二度,)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三度腐蚀伤T25.7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限于眼和附器的烧伤和腐蚀伤T26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眼睑和眼周区烧伤T26.0(浅二度,深二度,三度)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角膜和结膜囊烧伤T26.1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烧伤，伴有眼球破裂和破坏T26.2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眼睑和眼周区腐蚀伤T26.5(浅二度,深二度,三度)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角膜和结膜囊腐蚀伤T26.6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腐蚀伤，伴有眼球破裂和破坏T26.7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烧伤和腐蚀伤（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T20-T32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呼吸道烧伤和腐蚀伤T27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喉和气管烧伤T27.0(轻度，中度，重度)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呼吸道其他部位的烧伤T27.2(轻度，中度，重度)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喉和气管腐蚀伤T27.4(轻度，中度，重度)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呼吸道其他部位腐蚀伤T27.6(轻度，中度，重度)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其他内部器官的烧伤和腐蚀伤T28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口和咽烧伤T28.0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食管烧伤T28.1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消化道其他部位烧伤T28.2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泌尿生殖器官烧伤T28.3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口和咽腐蚀伤T28.5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食管腐蚀伤T28.6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消化道其他部位腐蚀伤T28.7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泌尿生殖器官内腐蚀伤T28.8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身体多个部位的烧伤和腐蚀伤T29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一度烧伤T29.1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二度烧伤T29.2(浅二度,深二度)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三度烧伤T29.3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一度腐蚀伤T29.5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二度腐蚀伤T29.6(浅二度,深二度)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三度腐蚀伤T29.7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烧伤和腐蚀伤，身体部位未特指T30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一度烧伤T30.1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二度烧伤T30.2(浅二度,深二度)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三度烧伤T30.3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烧伤和腐蚀伤，身体部位未特指T30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一度腐蚀伤T30.5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二度腐蚀伤T30.6(浅二度,深二度)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三度腐蚀伤T30.7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根据体表累及范围分类的烧伤T31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面积少于10%的烧伤T31.0(一度,浅、深二度,三度)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10%-19%的烧伤T31.1(一度,浅、深二度,三度)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20%-29%的烧伤T31.2(一度,浅、深二度,三度)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30%-39%的烧伤T31.3(一度,浅、深二度,三度)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40%-49%的烧伤T31.4(一度,浅、深二度,三度)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50%-59%的烧伤T31.5(一度,浅、深二度,三度)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60%-69%的烧伤T31.6(一度,浅、深二度,三度)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70%-79%的烧伤T31.7(一度,浅、深二度,三度)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80%-89%的烧伤T31.8(一度,浅、深二度,三度)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90%或更多的烧伤T31.9(一度,浅、深二度,三度)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烧伤和腐蚀伤（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T20-T32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根据体表累及范围分类的腐蚀伤T32</w:t>
            </w: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面积少于10%的腐蚀伤T32.0(一度,浅、深二度,三度)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10%-19%的腐蚀伤T32.1(一度,浅、深二度,三度)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20%-29%的腐蚀伤T32.2(一度,浅、深二度,三度)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30%-39%的腐蚀伤T32.3(一度,浅、深二度,三度)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40%-49%的腐蚀伤T32.4(一度,浅、深二度,三度)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50%-59%的腐蚀伤T32.5(一度,浅、深二度,三度)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60%-69%的腐蚀伤T32.6(一度,浅、深二度,三度)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70%-79%的腐蚀伤T32.7(一度,浅、深二度,三度)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80%-89%的腐蚀伤T32.8(一度,浅、深二度,三度)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90%或更多的腐蚀伤T32.9(一度,浅、深二度,三度)</w:t>
            </w:r>
          </w:p>
        </w:tc>
        <w:tc>
          <w:tcPr>
            <w:tcW w:w="155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冻伤（T33-T35）</w:t>
            </w:r>
          </w:p>
        </w:tc>
        <w:tc>
          <w:tcPr>
            <w:tcW w:w="6980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冻伤的停工留薪期按冻伤程度及面积对应于烧伤程度及面积确定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80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80" w:type="dxa"/>
            <w:gridSpan w:val="4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山东省工伤职工停工留薪期分类目录(职业病)</w:t>
      </w:r>
    </w:p>
    <w:tbl>
      <w:tblPr>
        <w:tblStyle w:val="5"/>
        <w:tblW w:w="8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44"/>
        <w:gridCol w:w="1922"/>
        <w:gridCol w:w="1114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职业病种类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停工留薪期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尘肺合并症</w:t>
            </w:r>
          </w:p>
        </w:tc>
        <w:tc>
          <w:tcPr>
            <w:tcW w:w="30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尘肺合并感染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尘肺合并脏器功能不全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尘肺合并肿瘤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尘肺合并活动性肺结核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康复性治疗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267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放射性疾病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外照射慢性放射性病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267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放射性肿瘤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铅及其化合物中毒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(不包括四乙基铅)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急性铅中毒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慢性铅中毒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汞及其化合物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急性汞中毒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3个月（不含合并肾衰）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慢性汞中毒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锰及其化合物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慢性锰中毒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镉及其化合物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急性镉中毒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慢性镉中毒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铍病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急性铍中毒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慢性铍中毒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铊及其化合物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急性铊中毒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慢性铊中毒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钡及其化合物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急性钡中毒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钒及其化合物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急性钒中毒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急性磷中毒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砷及其化合物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慢性砷中毒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砷化氢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急性砷化氢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3个月（不含溶血肾衰）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氯气中毒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急性氯气中毒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甲醇中毒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急性甲醇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个月（不含视神经损害）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二氧化硫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急性二氧化硫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光气中毒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急性光气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氨气中毒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急性氨气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偏二甲基胼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急性偏二甲基肼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氮氧化合物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急性氮氧化合物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一氧化碳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急性一氧化碳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0.5个月（不含高压氧治疗）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个月（不含脑部损伤）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二硫化碳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慢性二硫化碳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磷化氢、磷化锌、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磷化铝中毒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急性磷化氢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氰及腈类化合物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急性丙烯腈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四乙基铅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急性四乙基铅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有机锡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急性三烷基锡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羰基镍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急性羰基镍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急性苯中毒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甲苯中毒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慢性苯中毒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慢性苯中毒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急性甲苯中毒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二甲苯中毒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慢性甲苯中毒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慢性甲苯中毒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急性二甲苯中毒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正乙烷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慢性二甲苯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慢性二甲苯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慢性正乙烷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汽油中毒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急性溶剂汽油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一甲胺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慢性溶剂汽油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慢性溶剂汽油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急性一甲胺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有机氟聚合物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急性有机氟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二氯乙烷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急性1、2-氯乙烷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四氯化碳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急性四氯化碳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氯乙烯中毒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急性氯乙烯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三氯乙烯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慢性氯乙烯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慢性氯乙烯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急性三氯乙烯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氯丙烯中毒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慢性氯丙烯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氯丁二烯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急性氯丁二烯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苯胺类中毒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慢性氯丁二烯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慢性氯丁二烯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苯的氨基硝基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化合物中毒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三硝基甲苯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慢性三硝基甲苯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酚中毒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急性酚中毒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五氯酚（钠）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急性五氯酚（钠）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甲醛中毒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急性甲醛中毒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硫酸二甲酯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急性硫酸二甲酯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丙烯酰胺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慢性丙烯酰胺中毒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二甲基甲酰胺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急性二甲基甲酰胺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有机磷类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急性有机磷类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氨基甲酸酯类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急性氨基甲酸酯类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杀虫脒中毒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急性杀虫脒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溴甲烷中毒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急性溴甲烷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个月（不含脑部损害）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拟除虫菊酯类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中毒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个月（不含脑部损害）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化学性皮肤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灼伤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皮肤病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化学性眼部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灼伤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眼病</w:t>
            </w: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电光性眼炎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职业性白内障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膀胱癌</w:t>
            </w:r>
          </w:p>
        </w:tc>
        <w:tc>
          <w:tcPr>
            <w:tcW w:w="192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肿瘤</w:t>
            </w:r>
          </w:p>
        </w:tc>
        <w:tc>
          <w:tcPr>
            <w:tcW w:w="38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肝血管肉瘤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职业性哮喘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职业病</w:t>
            </w:r>
          </w:p>
        </w:tc>
        <w:tc>
          <w:tcPr>
            <w:tcW w:w="386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职业性急性变态反应性肺泡炎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重度</w:t>
            </w: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66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5629"/>
    <w:rsid w:val="03673235"/>
    <w:rsid w:val="0C944CF2"/>
    <w:rsid w:val="17B937D3"/>
    <w:rsid w:val="188A5CED"/>
    <w:rsid w:val="320318DA"/>
    <w:rsid w:val="331055DB"/>
    <w:rsid w:val="3B657FCC"/>
    <w:rsid w:val="42E61AA1"/>
    <w:rsid w:val="4E385629"/>
    <w:rsid w:val="653126B7"/>
    <w:rsid w:val="69C654BF"/>
    <w:rsid w:val="75200F05"/>
    <w:rsid w:val="7F5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样式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2020-12-16T04:52:00Z</dcterms:created>
  <dc:creator>wangjuan</dc:creator>
  <cp:lastModifiedBy>wangjuan</cp:lastModifiedBy>
  <dcterms:modified xsi:type="dcterms:W3CDTF">2020-12-16T04:53:00Z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