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2"/>
        </w:numPr>
        <w:spacing w:before="156" w:after="312"/>
        <w:ind w:firstLine="640"/>
        <w:rPr>
          <w:rFonts w:hint="eastAsia"/>
          <w:sz w:val="32"/>
          <w:szCs w:val="32"/>
          <w:highlight w:val="none"/>
        </w:rPr>
      </w:pPr>
      <w:r>
        <w:rPr>
          <w:rFonts w:hint="eastAsia"/>
          <w:sz w:val="32"/>
          <w:szCs w:val="32"/>
          <w:highlight w:val="none"/>
        </w:rPr>
        <w:t>简答题</w:t>
      </w:r>
    </w:p>
    <w:p>
      <w:pPr>
        <w:pStyle w:val="4"/>
        <w:spacing w:before="156" w:after="312"/>
        <w:ind w:firstLine="600"/>
        <w:rPr>
          <w:rFonts w:hint="eastAsia" w:ascii="黑体" w:hAnsi="黑体" w:eastAsia="黑体" w:cs="黑体"/>
          <w:kern w:val="0"/>
          <w:sz w:val="32"/>
          <w:szCs w:val="32"/>
          <w:highlight w:val="none"/>
          <w:lang w:val="en-US" w:eastAsia="zh-CN"/>
        </w:rPr>
      </w:pPr>
      <w:r>
        <w:rPr>
          <w:rFonts w:hint="eastAsia"/>
          <w:sz w:val="32"/>
          <w:szCs w:val="32"/>
          <w:highlight w:val="none"/>
          <w:lang w:val="en-US" w:eastAsia="zh-CN"/>
        </w:rPr>
        <w:t>（一）党建理论知识</w:t>
      </w:r>
    </w:p>
    <w:p>
      <w:pPr>
        <w:pStyle w:val="19"/>
        <w:bidi w:val="0"/>
        <w:rPr>
          <w:rFonts w:hint="default"/>
          <w:sz w:val="32"/>
          <w:szCs w:val="32"/>
          <w:highlight w:val="none"/>
          <w:lang w:val="en-US" w:eastAsia="zh-CN"/>
        </w:rPr>
      </w:pPr>
      <w:r>
        <w:rPr>
          <w:rFonts w:hint="eastAsia"/>
          <w:sz w:val="32"/>
          <w:szCs w:val="32"/>
          <w:highlight w:val="none"/>
          <w:lang w:val="en-US" w:eastAsia="zh-CN"/>
        </w:rPr>
        <w:t>命题单位：机关党委</w:t>
      </w:r>
    </w:p>
    <w:p>
      <w:pPr>
        <w:pStyle w:val="13"/>
        <w:numPr>
          <w:ilvl w:val="0"/>
          <w:numId w:val="3"/>
        </w:numPr>
        <w:bidi w:val="0"/>
        <w:ind w:left="23" w:leftChars="0" w:firstLine="400" w:firstLineChars="0"/>
        <w:rPr>
          <w:rFonts w:hint="eastAsia"/>
          <w:sz w:val="32"/>
          <w:szCs w:val="32"/>
          <w:highlight w:val="none"/>
          <w:lang w:val="en-US" w:eastAsia="zh-CN"/>
        </w:rPr>
      </w:pPr>
      <w:r>
        <w:rPr>
          <w:rFonts w:hint="eastAsia"/>
          <w:sz w:val="32"/>
          <w:szCs w:val="32"/>
          <w:highlight w:val="none"/>
          <w:lang w:val="en-US" w:eastAsia="zh-CN"/>
        </w:rPr>
        <w:t>请简述“四个自信”“四个意识”“两个维护”分别指什么。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kern w:val="0"/>
          <w:sz w:val="32"/>
          <w:szCs w:val="32"/>
          <w:highlight w:val="none"/>
          <w:lang w:val="en-US" w:eastAsia="zh-CN"/>
        </w:rPr>
      </w:pPr>
      <w:r>
        <w:rPr>
          <w:rFonts w:hint="eastAsia" w:asciiTheme="minorEastAsia" w:hAnsiTheme="minorEastAsia" w:eastAsiaTheme="minorEastAsia" w:cstheme="minorEastAsia"/>
          <w:kern w:val="0"/>
          <w:sz w:val="32"/>
          <w:szCs w:val="32"/>
          <w:highlight w:val="none"/>
          <w:lang w:val="en-US" w:eastAsia="zh-CN"/>
        </w:rPr>
        <w:t>答案：四个意识是指政治意识、大局意识、核心意识、看齐意识；四个自信是中国特色社会主义道路自信、理论自信、制度自信、文化自信；两个维护是指坚决维护习近平总书记党中央的核心、全党的核心地位，坚决维护党中央权威和集中统一领导。 </w:t>
      </w:r>
    </w:p>
    <w:p>
      <w:pPr>
        <w:pStyle w:val="19"/>
        <w:bidi w:val="0"/>
        <w:rPr>
          <w:rFonts w:hint="eastAsia"/>
          <w:sz w:val="32"/>
          <w:szCs w:val="32"/>
          <w:highlight w:val="none"/>
          <w:lang w:val="en-US" w:eastAsia="zh-CN"/>
        </w:rPr>
      </w:pPr>
      <w:r>
        <w:rPr>
          <w:rFonts w:hint="eastAsia"/>
          <w:sz w:val="32"/>
          <w:szCs w:val="32"/>
          <w:highlight w:val="none"/>
          <w:lang w:val="en-US" w:eastAsia="zh-CN"/>
        </w:rPr>
        <w:t>命题单位：机关党委</w:t>
      </w:r>
    </w:p>
    <w:p>
      <w:pPr>
        <w:widowControl/>
        <w:numPr>
          <w:ilvl w:val="0"/>
          <w:numId w:val="3"/>
        </w:numPr>
        <w:ind w:left="23" w:leftChars="0" w:firstLine="420" w:firstLineChars="0"/>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习近平总书记指出，要加快形的新发展格局具体指什么。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kern w:val="0"/>
          <w:sz w:val="32"/>
          <w:szCs w:val="32"/>
          <w:highlight w:val="none"/>
          <w:lang w:val="en-US" w:eastAsia="zh-CN"/>
        </w:rPr>
      </w:pPr>
      <w:r>
        <w:rPr>
          <w:rFonts w:hint="eastAsia" w:asciiTheme="minorEastAsia" w:hAnsiTheme="minorEastAsia" w:eastAsiaTheme="minorEastAsia" w:cstheme="minorEastAsia"/>
          <w:kern w:val="0"/>
          <w:sz w:val="32"/>
          <w:szCs w:val="32"/>
          <w:highlight w:val="none"/>
          <w:lang w:val="en-US" w:eastAsia="zh-CN"/>
        </w:rPr>
        <w:t>答案：加快形成以国内大循环为主体、国内国际双循环相互促进的新发展格局</w:t>
      </w:r>
    </w:p>
    <w:p>
      <w:pPr>
        <w:pStyle w:val="19"/>
        <w:bidi w:val="0"/>
        <w:rPr>
          <w:rFonts w:hint="eastAsia"/>
          <w:sz w:val="32"/>
          <w:szCs w:val="32"/>
          <w:highlight w:val="none"/>
          <w:lang w:val="en-US" w:eastAsia="zh-CN"/>
        </w:rPr>
      </w:pPr>
      <w:r>
        <w:rPr>
          <w:rFonts w:hint="eastAsia"/>
          <w:sz w:val="32"/>
          <w:szCs w:val="32"/>
          <w:highlight w:val="none"/>
          <w:lang w:val="en-US" w:eastAsia="zh-CN"/>
        </w:rPr>
        <w:t>命题单位：机关党委</w:t>
      </w:r>
    </w:p>
    <w:p>
      <w:pPr>
        <w:pStyle w:val="13"/>
        <w:numPr>
          <w:ilvl w:val="0"/>
          <w:numId w:val="3"/>
        </w:numPr>
        <w:bidi w:val="0"/>
        <w:ind w:left="23" w:leftChars="0" w:firstLine="400" w:firstLineChars="0"/>
        <w:rPr>
          <w:rFonts w:hint="eastAsia"/>
          <w:sz w:val="32"/>
          <w:szCs w:val="32"/>
          <w:highlight w:val="none"/>
          <w:lang w:val="en-US" w:eastAsia="zh-CN"/>
        </w:rPr>
      </w:pPr>
      <w:r>
        <w:rPr>
          <w:rFonts w:hint="eastAsia"/>
          <w:sz w:val="32"/>
          <w:szCs w:val="32"/>
          <w:highlight w:val="none"/>
          <w:lang w:val="en-US" w:eastAsia="zh-CN"/>
        </w:rPr>
        <w:t>从十九大到二十大，是“两个一百年”奋斗目标的历史交汇期。从二〇二〇年到本世纪中叶可以分两个阶段来安排，这两个阶段分别是？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kern w:val="0"/>
          <w:sz w:val="32"/>
          <w:szCs w:val="32"/>
          <w:highlight w:val="none"/>
          <w:lang w:val="en-US" w:eastAsia="zh-CN"/>
        </w:rPr>
      </w:pPr>
      <w:r>
        <w:rPr>
          <w:rFonts w:hint="eastAsia" w:asciiTheme="minorEastAsia" w:hAnsiTheme="minorEastAsia" w:eastAsiaTheme="minorEastAsia" w:cstheme="minorEastAsia"/>
          <w:kern w:val="0"/>
          <w:sz w:val="32"/>
          <w:szCs w:val="32"/>
          <w:highlight w:val="none"/>
          <w:lang w:val="en-US" w:eastAsia="zh-CN"/>
        </w:rPr>
        <w:t>答案：第一个阶段，从二〇二〇年到二〇三五年，在全面建成小康社会的基础上，再奋斗十五年，基本实现社会主义现代化。第二个阶段，从二〇三五年到本世纪中叶，在基本实现现代化的基础上，再奋斗十五年，把我国建成富强民主文明和谐美丽的社会主义现代化强国。</w:t>
      </w:r>
    </w:p>
    <w:p>
      <w:pPr>
        <w:numPr>
          <w:ilvl w:val="0"/>
          <w:numId w:val="0"/>
        </w:numPr>
        <w:rPr>
          <w:sz w:val="32"/>
          <w:szCs w:val="32"/>
          <w:highlight w:val="none"/>
        </w:rPr>
      </w:pPr>
    </w:p>
    <w:p>
      <w:pPr>
        <w:pStyle w:val="2"/>
        <w:rPr>
          <w:sz w:val="32"/>
          <w:szCs w:val="32"/>
          <w:highlight w:val="none"/>
        </w:rPr>
      </w:pPr>
    </w:p>
    <w:p>
      <w:pPr>
        <w:pStyle w:val="2"/>
        <w:rPr>
          <w:sz w:val="32"/>
          <w:szCs w:val="32"/>
          <w:highlight w:val="none"/>
        </w:rPr>
      </w:pPr>
    </w:p>
    <w:p>
      <w:pPr>
        <w:pStyle w:val="2"/>
        <w:rPr>
          <w:sz w:val="32"/>
          <w:szCs w:val="32"/>
          <w:highlight w:val="none"/>
        </w:rPr>
      </w:pPr>
    </w:p>
    <w:p>
      <w:pPr>
        <w:pStyle w:val="2"/>
        <w:ind w:left="0" w:leftChars="0" w:firstLine="0" w:firstLineChars="0"/>
        <w:rPr>
          <w:sz w:val="32"/>
          <w:szCs w:val="32"/>
          <w:highlight w:val="none"/>
        </w:rPr>
      </w:pPr>
    </w:p>
    <w:p>
      <w:pPr>
        <w:pStyle w:val="2"/>
        <w:ind w:left="0" w:leftChars="0" w:firstLine="0" w:firstLineChars="0"/>
        <w:rPr>
          <w:sz w:val="32"/>
          <w:szCs w:val="32"/>
          <w:highlight w:val="none"/>
        </w:rPr>
      </w:pPr>
    </w:p>
    <w:p>
      <w:pPr>
        <w:pStyle w:val="2"/>
        <w:rPr>
          <w:sz w:val="32"/>
          <w:szCs w:val="32"/>
          <w:highlight w:val="none"/>
        </w:rPr>
      </w:pPr>
    </w:p>
    <w:p>
      <w:pPr>
        <w:pStyle w:val="2"/>
        <w:ind w:left="0" w:leftChars="0" w:firstLine="0" w:firstLineChars="0"/>
        <w:rPr>
          <w:sz w:val="32"/>
          <w:szCs w:val="32"/>
          <w:highlight w:val="none"/>
        </w:rPr>
      </w:pPr>
    </w:p>
    <w:p>
      <w:pPr>
        <w:pStyle w:val="4"/>
        <w:spacing w:before="156" w:after="312"/>
        <w:ind w:firstLine="600"/>
        <w:rPr>
          <w:rFonts w:hint="eastAsia"/>
          <w:sz w:val="32"/>
          <w:szCs w:val="32"/>
          <w:highlight w:val="none"/>
          <w:lang w:eastAsia="zh-CN"/>
        </w:rPr>
      </w:pPr>
      <w:r>
        <w:rPr>
          <w:rFonts w:hint="eastAsia"/>
          <w:sz w:val="32"/>
          <w:szCs w:val="32"/>
          <w:highlight w:val="none"/>
        </w:rPr>
        <w:t>（</w:t>
      </w:r>
      <w:r>
        <w:rPr>
          <w:rFonts w:hint="eastAsia"/>
          <w:sz w:val="32"/>
          <w:szCs w:val="32"/>
          <w:highlight w:val="none"/>
          <w:lang w:val="en-US" w:eastAsia="zh-CN"/>
        </w:rPr>
        <w:t>二</w:t>
      </w:r>
      <w:r>
        <w:rPr>
          <w:rFonts w:hint="eastAsia"/>
          <w:sz w:val="32"/>
          <w:szCs w:val="32"/>
          <w:highlight w:val="none"/>
        </w:rPr>
        <w:t>）</w:t>
      </w:r>
      <w:r>
        <w:rPr>
          <w:rFonts w:hint="eastAsia"/>
          <w:sz w:val="32"/>
          <w:szCs w:val="32"/>
          <w:highlight w:val="none"/>
          <w:lang w:eastAsia="zh-CN"/>
        </w:rPr>
        <w:t>就业创业</w:t>
      </w:r>
    </w:p>
    <w:p>
      <w:pPr>
        <w:pStyle w:val="19"/>
        <w:bidi w:val="0"/>
        <w:rPr>
          <w:rFonts w:hint="eastAsia"/>
          <w:sz w:val="32"/>
          <w:szCs w:val="32"/>
          <w:highlight w:val="none"/>
          <w:lang w:eastAsia="zh-CN"/>
        </w:rPr>
      </w:pPr>
      <w:r>
        <w:rPr>
          <w:rFonts w:hint="eastAsia"/>
          <w:sz w:val="32"/>
          <w:szCs w:val="32"/>
          <w:highlight w:val="none"/>
          <w:lang w:eastAsia="zh-CN"/>
        </w:rPr>
        <w:t>命题单位：就业促进与失业保险处（农民工工作处）</w:t>
      </w:r>
    </w:p>
    <w:p>
      <w:pPr>
        <w:widowControl/>
        <w:numPr>
          <w:ilvl w:val="0"/>
          <w:numId w:val="3"/>
        </w:numPr>
        <w:ind w:left="23" w:leftChars="0" w:firstLine="420" w:firstLineChars="0"/>
        <w:jc w:val="left"/>
        <w:rPr>
          <w:rFonts w:ascii="黑体" w:hAnsi="黑体" w:eastAsia="黑体" w:cs="黑体"/>
          <w:sz w:val="32"/>
          <w:szCs w:val="32"/>
          <w:highlight w:val="none"/>
        </w:rPr>
      </w:pPr>
      <w:r>
        <w:rPr>
          <w:rFonts w:hint="eastAsia" w:ascii="黑体" w:hAnsi="黑体" w:eastAsia="黑体" w:cs="黑体"/>
          <w:sz w:val="32"/>
          <w:szCs w:val="32"/>
          <w:highlight w:val="none"/>
        </w:rPr>
        <w:t>按照《山东省就业促进条例》规定，就业困难人员主要包括哪些人员？</w:t>
      </w:r>
    </w:p>
    <w:p>
      <w:pPr>
        <w:widowControl/>
        <w:ind w:firstLine="422"/>
        <w:jc w:val="left"/>
        <w:rPr>
          <w:rFonts w:ascii="Times New Roman" w:hAnsi="Times New Roman" w:eastAsia="宋体" w:cs="Times New Roman"/>
          <w:sz w:val="32"/>
          <w:szCs w:val="32"/>
          <w:highlight w:val="none"/>
        </w:rPr>
      </w:pPr>
      <w:r>
        <w:rPr>
          <w:rFonts w:hint="eastAsia" w:ascii="Times New Roman" w:hAnsi="Times New Roman" w:eastAsia="宋体" w:cs="Times New Roman"/>
          <w:b/>
          <w:bCs/>
          <w:sz w:val="32"/>
          <w:szCs w:val="32"/>
          <w:highlight w:val="none"/>
        </w:rPr>
        <w:t>答</w:t>
      </w:r>
      <w:r>
        <w:rPr>
          <w:rFonts w:hint="eastAsia" w:ascii="Times New Roman" w:hAnsi="Times New Roman" w:eastAsia="宋体" w:cs="Times New Roman"/>
          <w:sz w:val="32"/>
          <w:szCs w:val="32"/>
          <w:highlight w:val="none"/>
        </w:rPr>
        <w:t>：按照《山东省就业促进条例》规定，就业困难人员主要包括：女性四十周岁、男性五十周岁以上的人员；城镇零就业家庭成员；农村零转移就业贫困家庭成员；抚养未成年子女的单亲家庭成员；享受最低生活保障人员；持有《中华人民共和国残疾人证》人员；连续失业一年以上的人员；因失去土地等原因难以实现就业的人员；设区的市人民政府规定的其他人员。。</w:t>
      </w:r>
    </w:p>
    <w:p>
      <w:pPr>
        <w:ind w:firstLine="422"/>
        <w:rPr>
          <w:rFonts w:ascii="Times New Roman" w:hAnsi="Times New Roman" w:eastAsia="宋体" w:cs="Times New Roman"/>
          <w:sz w:val="32"/>
          <w:szCs w:val="32"/>
          <w:highlight w:val="none"/>
        </w:rPr>
      </w:pPr>
      <w:r>
        <w:rPr>
          <w:rFonts w:hint="eastAsia" w:ascii="Times New Roman" w:hAnsi="Times New Roman" w:eastAsia="宋体" w:cs="Times New Roman"/>
          <w:b/>
          <w:bCs/>
          <w:sz w:val="32"/>
          <w:szCs w:val="32"/>
          <w:highlight w:val="none"/>
        </w:rPr>
        <w:t>解析</w:t>
      </w:r>
      <w:r>
        <w:rPr>
          <w:rFonts w:hint="eastAsia" w:ascii="Times New Roman" w:hAnsi="Times New Roman" w:eastAsia="宋体" w:cs="Times New Roman"/>
          <w:sz w:val="32"/>
          <w:szCs w:val="32"/>
          <w:highlight w:val="none"/>
        </w:rPr>
        <w:t>：《山东省就业促进条例》规定，就业困难人员主要包括：女性四十周岁、男性五十周岁以上的人员；城镇零就业家庭成员；农村零转移就业贫困家庭成员；抚养未成年子女的单亲家庭成员；享受最低生活保障人员；持有《中华人民共和国残疾人证》人员；连续失业一年以上的人员；因失去土地等原因难以实现就业的人员；设区的市人民政府规定的其他人员。</w:t>
      </w:r>
    </w:p>
    <w:p>
      <w:pPr>
        <w:pStyle w:val="19"/>
        <w:bidi w:val="0"/>
        <w:rPr>
          <w:rFonts w:hint="default"/>
          <w:sz w:val="32"/>
          <w:szCs w:val="32"/>
          <w:highlight w:val="none"/>
          <w:lang w:val="en-US" w:eastAsia="zh-CN"/>
        </w:rPr>
      </w:pPr>
      <w:r>
        <w:rPr>
          <w:rFonts w:hint="eastAsia"/>
          <w:sz w:val="32"/>
          <w:szCs w:val="32"/>
          <w:highlight w:val="none"/>
          <w:lang w:eastAsia="zh-CN"/>
        </w:rPr>
        <w:t>命题单位：就业促进与失业保险处（农民工工作处）</w:t>
      </w:r>
    </w:p>
    <w:p>
      <w:pPr>
        <w:widowControl/>
        <w:numPr>
          <w:ilvl w:val="0"/>
          <w:numId w:val="3"/>
        </w:numPr>
        <w:ind w:left="23" w:leftChars="0" w:firstLine="400" w:firstLineChars="0"/>
        <w:jc w:val="left"/>
        <w:rPr>
          <w:rFonts w:hint="eastAsia" w:ascii="黑体" w:hAnsi="黑体" w:eastAsia="黑体" w:cs="黑体"/>
          <w:sz w:val="32"/>
          <w:szCs w:val="32"/>
          <w:highlight w:val="none"/>
        </w:rPr>
      </w:pPr>
      <w:r>
        <w:rPr>
          <w:rFonts w:hint="eastAsia" w:ascii="黑体" w:hAnsi="黑体" w:eastAsia="黑体" w:cs="黑体"/>
          <w:sz w:val="32"/>
          <w:szCs w:val="32"/>
          <w:highlight w:val="none"/>
        </w:rPr>
        <w:t>省级就业补助资金对个人和单位的补贴有哪些？</w:t>
      </w:r>
    </w:p>
    <w:p>
      <w:pPr>
        <w:widowControl/>
        <w:ind w:firstLine="420"/>
        <w:jc w:val="left"/>
        <w:rPr>
          <w:rFonts w:hint="eastAsia" w:ascii="Times New Roman" w:hAnsi="Times New Roman" w:eastAsia="宋体" w:cs="Times New Roman"/>
          <w:sz w:val="32"/>
          <w:szCs w:val="32"/>
          <w:highlight w:val="none"/>
        </w:rPr>
      </w:pPr>
      <w:r>
        <w:rPr>
          <w:rFonts w:hint="eastAsia" w:ascii="Times New Roman" w:hAnsi="Times New Roman" w:eastAsia="宋体" w:cs="Times New Roman"/>
          <w:b/>
          <w:bCs/>
          <w:sz w:val="32"/>
          <w:szCs w:val="32"/>
          <w:highlight w:val="none"/>
        </w:rPr>
        <w:t>答</w:t>
      </w:r>
      <w:r>
        <w:rPr>
          <w:rFonts w:hint="eastAsia" w:ascii="Times New Roman" w:hAnsi="Times New Roman" w:eastAsia="宋体" w:cs="Times New Roman"/>
          <w:sz w:val="32"/>
          <w:szCs w:val="32"/>
          <w:highlight w:val="none"/>
        </w:rPr>
        <w:t>：对个人和单位的补贴资金用于职业培训补贴、职业技能鉴定补贴、社会保险补贴、公益性岗位补贴、就业见习补贴、求职创业补贴、一次性创业补贴、一次性创业岗位开发补贴、创业场所租赁补贴、创业师资培训补贴、家政服务业从业人员意外伤害保险补贴等。</w:t>
      </w:r>
    </w:p>
    <w:p>
      <w:pPr>
        <w:ind w:firstLine="422"/>
        <w:rPr>
          <w:rFonts w:ascii="Times New Roman" w:hAnsi="Times New Roman" w:eastAsia="宋体" w:cs="Times New Roman"/>
          <w:sz w:val="32"/>
          <w:szCs w:val="32"/>
          <w:highlight w:val="none"/>
        </w:rPr>
      </w:pPr>
      <w:r>
        <w:rPr>
          <w:rFonts w:hint="eastAsia" w:ascii="Times New Roman" w:hAnsi="Times New Roman" w:eastAsia="宋体" w:cs="Times New Roman"/>
          <w:b/>
          <w:bCs/>
          <w:sz w:val="32"/>
          <w:szCs w:val="32"/>
          <w:highlight w:val="none"/>
          <w:lang w:eastAsia="zh-CN"/>
        </w:rPr>
        <w:t>解析</w:t>
      </w:r>
      <w:r>
        <w:rPr>
          <w:rFonts w:hint="eastAsia" w:ascii="Times New Roman" w:hAnsi="Times New Roman" w:eastAsia="宋体" w:cs="Times New Roman"/>
          <w:sz w:val="32"/>
          <w:szCs w:val="32"/>
          <w:highlight w:val="none"/>
          <w:lang w:eastAsia="zh-CN"/>
        </w:rPr>
        <w:t>：</w:t>
      </w:r>
      <w:r>
        <w:rPr>
          <w:rFonts w:hint="eastAsia" w:ascii="Times New Roman" w:hAnsi="Times New Roman" w:eastAsia="宋体" w:cs="Times New Roman"/>
          <w:sz w:val="32"/>
          <w:szCs w:val="32"/>
          <w:highlight w:val="none"/>
        </w:rPr>
        <w:t>《山东省就业补助资金管理办法》第四条：对个人和单位的补贴资金用于职业培训补贴、职业技能鉴定补贴、社会保险补贴、公益性岗位补贴、就业见习补贴、求职创业补贴、一次性创业补贴、一次性创业岗位开发补贴、创业场所租赁补贴、创业师资培训补贴、家政服务业从业人员意外伤害保险补贴等支出。</w:t>
      </w:r>
    </w:p>
    <w:p>
      <w:pPr>
        <w:pStyle w:val="19"/>
        <w:bidi w:val="0"/>
        <w:rPr>
          <w:rFonts w:hint="default"/>
          <w:sz w:val="32"/>
          <w:szCs w:val="32"/>
          <w:highlight w:val="none"/>
          <w:lang w:val="en-US" w:eastAsia="zh-CN"/>
        </w:rPr>
      </w:pPr>
      <w:r>
        <w:rPr>
          <w:rFonts w:hint="eastAsia"/>
          <w:sz w:val="32"/>
          <w:szCs w:val="32"/>
          <w:highlight w:val="none"/>
          <w:lang w:eastAsia="zh-CN"/>
        </w:rPr>
        <w:t>命题单位：就业促进与失业保险处（农民工工作处）</w:t>
      </w:r>
    </w:p>
    <w:p>
      <w:pPr>
        <w:widowControl/>
        <w:numPr>
          <w:ilvl w:val="0"/>
          <w:numId w:val="3"/>
        </w:numPr>
        <w:ind w:left="23" w:leftChars="0" w:firstLine="400" w:firstLineChars="0"/>
        <w:jc w:val="left"/>
        <w:rPr>
          <w:rFonts w:hint="eastAsia" w:ascii="黑体" w:hAnsi="黑体" w:eastAsia="黑体" w:cs="黑体"/>
          <w:sz w:val="32"/>
          <w:szCs w:val="32"/>
          <w:highlight w:val="none"/>
        </w:rPr>
      </w:pPr>
      <w:r>
        <w:rPr>
          <w:rFonts w:hint="eastAsia" w:ascii="黑体" w:hAnsi="黑体" w:eastAsia="黑体" w:cs="黑体"/>
          <w:sz w:val="32"/>
          <w:szCs w:val="32"/>
          <w:highlight w:val="none"/>
        </w:rPr>
        <w:t>《山东省人民政府关于进一步稳定和扩大就业的若干意见》围绕哪六个方面，制定出台具体政策措施？</w:t>
      </w:r>
    </w:p>
    <w:p>
      <w:pPr>
        <w:widowControl/>
        <w:ind w:firstLine="420"/>
        <w:jc w:val="left"/>
        <w:rPr>
          <w:rFonts w:hint="eastAsia" w:ascii="Times New Roman" w:hAnsi="Times New Roman" w:eastAsia="宋体" w:cs="Times New Roman"/>
          <w:sz w:val="32"/>
          <w:szCs w:val="32"/>
          <w:highlight w:val="none"/>
        </w:rPr>
      </w:pPr>
      <w:r>
        <w:rPr>
          <w:rFonts w:hint="eastAsia" w:ascii="Times New Roman" w:hAnsi="Times New Roman" w:eastAsia="宋体" w:cs="Times New Roman"/>
          <w:b/>
          <w:bCs/>
          <w:sz w:val="32"/>
          <w:szCs w:val="32"/>
          <w:highlight w:val="none"/>
        </w:rPr>
        <w:t>答</w:t>
      </w:r>
      <w:r>
        <w:rPr>
          <w:rFonts w:hint="eastAsia" w:ascii="Times New Roman" w:hAnsi="Times New Roman" w:eastAsia="宋体" w:cs="Times New Roman"/>
          <w:sz w:val="32"/>
          <w:szCs w:val="32"/>
          <w:highlight w:val="none"/>
        </w:rPr>
        <w:t>：一是支持企业稳定就业，二是发展经济扩大就业，三是鼓励创业带动就业，四是扩大培训改善就业，五是聚焦重点群体促进就业，六是压实责任保障就业。</w:t>
      </w:r>
    </w:p>
    <w:p>
      <w:pPr>
        <w:ind w:firstLine="422"/>
        <w:rPr>
          <w:rFonts w:ascii="Times New Roman" w:hAnsi="Times New Roman" w:eastAsia="宋体" w:cs="Times New Roman"/>
          <w:sz w:val="32"/>
          <w:szCs w:val="32"/>
          <w:highlight w:val="none"/>
        </w:rPr>
      </w:pPr>
      <w:r>
        <w:rPr>
          <w:rFonts w:hint="eastAsia" w:ascii="Times New Roman" w:hAnsi="Times New Roman" w:eastAsia="宋体" w:cs="Times New Roman"/>
          <w:b/>
          <w:bCs/>
          <w:sz w:val="32"/>
          <w:szCs w:val="32"/>
          <w:highlight w:val="none"/>
          <w:lang w:eastAsia="zh-CN"/>
        </w:rPr>
        <w:t>解析</w:t>
      </w:r>
      <w:r>
        <w:rPr>
          <w:rFonts w:hint="eastAsia" w:ascii="Times New Roman" w:hAnsi="Times New Roman" w:eastAsia="宋体" w:cs="Times New Roman"/>
          <w:sz w:val="32"/>
          <w:szCs w:val="32"/>
          <w:highlight w:val="none"/>
          <w:lang w:eastAsia="zh-CN"/>
        </w:rPr>
        <w:t>：</w:t>
      </w:r>
      <w:r>
        <w:rPr>
          <w:rFonts w:hint="eastAsia" w:ascii="Times New Roman" w:hAnsi="Times New Roman" w:eastAsia="宋体" w:cs="Times New Roman"/>
          <w:sz w:val="32"/>
          <w:szCs w:val="32"/>
          <w:highlight w:val="none"/>
        </w:rPr>
        <w:t>《山东省人民政府关于进一步稳定和扩大就业的若干意见》（鲁政发〔2018〕30号）</w:t>
      </w:r>
    </w:p>
    <w:p>
      <w:pPr>
        <w:pStyle w:val="19"/>
        <w:bidi w:val="0"/>
        <w:rPr>
          <w:rFonts w:hint="default"/>
          <w:sz w:val="32"/>
          <w:szCs w:val="32"/>
          <w:highlight w:val="none"/>
          <w:lang w:val="en-US" w:eastAsia="zh-CN"/>
        </w:rPr>
      </w:pPr>
      <w:r>
        <w:rPr>
          <w:rFonts w:hint="eastAsia"/>
          <w:sz w:val="32"/>
          <w:szCs w:val="32"/>
          <w:highlight w:val="none"/>
          <w:lang w:eastAsia="zh-CN"/>
        </w:rPr>
        <w:t>命题单位：就业促进与失业保险处（农民工工作处）</w:t>
      </w:r>
    </w:p>
    <w:p>
      <w:pPr>
        <w:widowControl/>
        <w:numPr>
          <w:ilvl w:val="0"/>
          <w:numId w:val="3"/>
        </w:numPr>
        <w:ind w:left="0" w:leftChars="0" w:firstLine="400" w:firstLineChars="0"/>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保居民就业工作主要任务有哪8项？</w:t>
      </w:r>
    </w:p>
    <w:p>
      <w:pPr>
        <w:widowControl/>
        <w:ind w:firstLine="420"/>
        <w:jc w:val="left"/>
        <w:rPr>
          <w:rFonts w:hint="eastAsia" w:ascii="Times New Roman" w:hAnsi="Times New Roman" w:eastAsia="宋体" w:cs="Times New Roman"/>
          <w:sz w:val="32"/>
          <w:szCs w:val="32"/>
          <w:highlight w:val="none"/>
          <w:lang w:val="en-US" w:eastAsia="zh-CN"/>
        </w:rPr>
      </w:pPr>
      <w:r>
        <w:rPr>
          <w:rFonts w:hint="eastAsia" w:ascii="Times New Roman" w:hAnsi="Times New Roman" w:eastAsia="宋体" w:cs="Times New Roman"/>
          <w:b/>
          <w:bCs/>
          <w:sz w:val="32"/>
          <w:szCs w:val="32"/>
          <w:highlight w:val="none"/>
          <w:lang w:val="en-US" w:eastAsia="zh-CN"/>
        </w:rPr>
        <w:t>答</w:t>
      </w:r>
      <w:r>
        <w:rPr>
          <w:rFonts w:hint="eastAsia" w:ascii="Times New Roman" w:hAnsi="Times New Roman" w:eastAsia="宋体" w:cs="Times New Roman"/>
          <w:sz w:val="32"/>
          <w:szCs w:val="32"/>
          <w:highlight w:val="none"/>
          <w:lang w:val="en-US" w:eastAsia="zh-CN"/>
        </w:rPr>
        <w:t>：发展经济“保就业”、援企稳岗“保就业”、聚焦重点“保就业”、扩大培训“保就业”、扶持创业“保就业”、灵活就业“保就业”、精准服务“保就业”、防控风险“保就业”。</w:t>
      </w:r>
    </w:p>
    <w:p>
      <w:pPr>
        <w:ind w:firstLine="422"/>
        <w:rPr>
          <w:rFonts w:ascii="Times New Roman" w:hAnsi="Times New Roman" w:eastAsia="宋体" w:cs="Times New Roman"/>
          <w:sz w:val="32"/>
          <w:szCs w:val="32"/>
          <w:highlight w:val="none"/>
        </w:rPr>
      </w:pPr>
      <w:r>
        <w:rPr>
          <w:rFonts w:hint="eastAsia" w:ascii="Times New Roman" w:hAnsi="Times New Roman" w:eastAsia="宋体" w:cs="Times New Roman"/>
          <w:b/>
          <w:bCs/>
          <w:sz w:val="32"/>
          <w:szCs w:val="32"/>
          <w:highlight w:val="none"/>
          <w:lang w:val="en-US" w:eastAsia="zh-CN"/>
        </w:rPr>
        <w:t>解析</w:t>
      </w:r>
      <w:r>
        <w:rPr>
          <w:rFonts w:hint="eastAsia" w:ascii="Times New Roman" w:hAnsi="Times New Roman" w:eastAsia="宋体" w:cs="Times New Roman"/>
          <w:sz w:val="32"/>
          <w:szCs w:val="32"/>
          <w:highlight w:val="none"/>
          <w:lang w:val="en-US" w:eastAsia="zh-CN"/>
        </w:rPr>
        <w:t>：《保居民就业工作方案》</w:t>
      </w:r>
    </w:p>
    <w:p>
      <w:pPr>
        <w:pStyle w:val="19"/>
        <w:bidi w:val="0"/>
        <w:rPr>
          <w:rFonts w:hint="eastAsia"/>
          <w:sz w:val="32"/>
          <w:szCs w:val="32"/>
          <w:highlight w:val="none"/>
          <w:lang w:eastAsia="zh-CN"/>
        </w:rPr>
      </w:pPr>
      <w:r>
        <w:rPr>
          <w:rFonts w:hint="eastAsia"/>
          <w:sz w:val="32"/>
          <w:szCs w:val="32"/>
          <w:highlight w:val="none"/>
          <w:lang w:eastAsia="zh-CN"/>
        </w:rPr>
        <w:t>命题单位：就业促进与失业保险处（农民工工作处）</w:t>
      </w:r>
    </w:p>
    <w:p>
      <w:pPr>
        <w:widowControl/>
        <w:numPr>
          <w:ilvl w:val="0"/>
          <w:numId w:val="3"/>
        </w:numPr>
        <w:ind w:left="0" w:leftChars="0" w:firstLine="400" w:firstLineChars="0"/>
        <w:jc w:val="left"/>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创业带动就业扶持资金的支出项目有哪些？请列举5项以上。</w:t>
      </w:r>
    </w:p>
    <w:p>
      <w:pPr>
        <w:widowControl/>
        <w:ind w:firstLine="420"/>
        <w:jc w:val="left"/>
        <w:rPr>
          <w:rFonts w:hint="eastAsia" w:ascii="Times New Roman" w:hAnsi="Times New Roman" w:eastAsia="宋体" w:cs="Times New Roman"/>
          <w:sz w:val="32"/>
          <w:szCs w:val="32"/>
          <w:highlight w:val="none"/>
          <w:lang w:val="en-US" w:eastAsia="zh-CN"/>
        </w:rPr>
      </w:pPr>
      <w:r>
        <w:rPr>
          <w:rFonts w:hint="eastAsia" w:ascii="Times New Roman" w:hAnsi="Times New Roman" w:eastAsia="宋体" w:cs="Times New Roman"/>
          <w:b/>
          <w:bCs/>
          <w:sz w:val="32"/>
          <w:szCs w:val="32"/>
          <w:highlight w:val="none"/>
          <w:lang w:val="en-US" w:eastAsia="zh-CN"/>
        </w:rPr>
        <w:t>答</w:t>
      </w:r>
      <w:r>
        <w:rPr>
          <w:rFonts w:hint="eastAsia" w:ascii="Times New Roman" w:hAnsi="Times New Roman" w:eastAsia="宋体" w:cs="Times New Roman"/>
          <w:sz w:val="32"/>
          <w:szCs w:val="32"/>
          <w:highlight w:val="none"/>
          <w:lang w:val="en-US" w:eastAsia="zh-CN"/>
        </w:rPr>
        <w:t>：创业带动就业扶持资金主要用于职业培训补贴、一次性创业补贴、一次性创业岗位开发补贴、创业场所租赁补贴、创业师资培训补贴、创业担保贷款贴息及奖补、省级创业创新示范综合体奖补、创业型城市和街道（社区）奖补、创业训练营补助、创业典型人物奖励（创业大赛奖补）、省级创业孵化示范基地（创业示范园区）运营补贴、创业孵化补贴、乡村振兴劳务基地一次性奖补、家庭服务业职业培训省级示范基地奖补、创业服务补助、扶持人力资源服务业发展以及省政府批准的其他支出。</w:t>
      </w:r>
    </w:p>
    <w:p>
      <w:pPr>
        <w:ind w:firstLine="422"/>
        <w:rPr>
          <w:rFonts w:ascii="Times New Roman" w:hAnsi="Times New Roman" w:eastAsia="宋体" w:cs="Times New Roman"/>
          <w:sz w:val="32"/>
          <w:szCs w:val="32"/>
          <w:highlight w:val="none"/>
        </w:rPr>
      </w:pPr>
      <w:r>
        <w:rPr>
          <w:rFonts w:hint="eastAsia" w:ascii="Times New Roman" w:hAnsi="Times New Roman" w:eastAsia="宋体" w:cs="Times New Roman"/>
          <w:b/>
          <w:bCs/>
          <w:sz w:val="32"/>
          <w:szCs w:val="32"/>
          <w:highlight w:val="none"/>
          <w:lang w:val="en-US" w:eastAsia="zh-CN"/>
        </w:rPr>
        <w:t>解析</w:t>
      </w:r>
      <w:r>
        <w:rPr>
          <w:rFonts w:hint="eastAsia" w:ascii="Times New Roman" w:hAnsi="Times New Roman" w:eastAsia="宋体" w:cs="Times New Roman"/>
          <w:sz w:val="32"/>
          <w:szCs w:val="32"/>
          <w:highlight w:val="none"/>
          <w:lang w:val="en-US" w:eastAsia="zh-CN"/>
        </w:rPr>
        <w:t>：《山东省创业带动就业扶持资金管理办法》第八条。</w:t>
      </w:r>
    </w:p>
    <w:p>
      <w:pPr>
        <w:pStyle w:val="19"/>
        <w:bidi w:val="0"/>
        <w:rPr>
          <w:rFonts w:hint="eastAsia"/>
          <w:sz w:val="32"/>
          <w:szCs w:val="32"/>
          <w:highlight w:val="none"/>
          <w:lang w:eastAsia="zh-CN"/>
        </w:rPr>
      </w:pPr>
      <w:r>
        <w:rPr>
          <w:rFonts w:hint="eastAsia"/>
          <w:sz w:val="32"/>
          <w:szCs w:val="32"/>
          <w:highlight w:val="none"/>
          <w:lang w:eastAsia="zh-CN"/>
        </w:rPr>
        <w:t>命题单位：就业促进与失业保险处（农民工工作处）</w:t>
      </w:r>
    </w:p>
    <w:p>
      <w:pPr>
        <w:widowControl/>
        <w:numPr>
          <w:ilvl w:val="0"/>
          <w:numId w:val="3"/>
        </w:numPr>
        <w:ind w:left="23" w:leftChars="0" w:firstLine="400" w:firstLineChars="0"/>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领取失业保险金的条件？</w:t>
      </w:r>
    </w:p>
    <w:p>
      <w:pPr>
        <w:widowControl/>
        <w:ind w:firstLine="420"/>
        <w:jc w:val="left"/>
        <w:rPr>
          <w:rFonts w:hint="eastAsia" w:ascii="Times New Roman" w:hAnsi="Times New Roman" w:eastAsia="宋体" w:cs="Times New Roman"/>
          <w:sz w:val="32"/>
          <w:szCs w:val="32"/>
          <w:highlight w:val="none"/>
          <w:lang w:val="en-US" w:eastAsia="zh-CN"/>
        </w:rPr>
      </w:pPr>
      <w:r>
        <w:rPr>
          <w:rFonts w:hint="eastAsia" w:ascii="Times New Roman" w:hAnsi="Times New Roman" w:eastAsia="宋体" w:cs="Times New Roman"/>
          <w:b/>
          <w:bCs/>
          <w:sz w:val="32"/>
          <w:szCs w:val="32"/>
          <w:highlight w:val="none"/>
          <w:lang w:val="en-US" w:eastAsia="zh-CN"/>
        </w:rPr>
        <w:t>答</w:t>
      </w:r>
      <w:r>
        <w:rPr>
          <w:rFonts w:hint="eastAsia" w:ascii="Times New Roman" w:hAnsi="Times New Roman" w:eastAsia="宋体" w:cs="Times New Roman"/>
          <w:sz w:val="32"/>
          <w:szCs w:val="32"/>
          <w:highlight w:val="none"/>
          <w:lang w:val="en-US" w:eastAsia="zh-CN"/>
        </w:rPr>
        <w:t>：（一）按规定参加失业保险,所在单位和本人已按照规定履行缴费义务满1年;（二）非因本人意愿中断就业;（三）己办理失业登记,并有求职要求。</w:t>
      </w:r>
    </w:p>
    <w:p>
      <w:pPr>
        <w:ind w:firstLine="422"/>
        <w:rPr>
          <w:rFonts w:ascii="Times New Roman" w:hAnsi="Times New Roman" w:eastAsia="宋体" w:cs="Times New Roman"/>
          <w:sz w:val="32"/>
          <w:szCs w:val="32"/>
          <w:highlight w:val="none"/>
        </w:rPr>
      </w:pPr>
      <w:r>
        <w:rPr>
          <w:rFonts w:hint="eastAsia" w:ascii="Times New Roman" w:hAnsi="Times New Roman" w:eastAsia="宋体" w:cs="Times New Roman"/>
          <w:b/>
          <w:bCs/>
          <w:sz w:val="32"/>
          <w:szCs w:val="32"/>
          <w:highlight w:val="none"/>
          <w:lang w:val="en-US" w:eastAsia="zh-CN"/>
        </w:rPr>
        <w:t>解析</w:t>
      </w:r>
      <w:r>
        <w:rPr>
          <w:rFonts w:hint="eastAsia" w:ascii="Times New Roman" w:hAnsi="Times New Roman" w:eastAsia="宋体" w:cs="Times New Roman"/>
          <w:sz w:val="32"/>
          <w:szCs w:val="32"/>
          <w:highlight w:val="none"/>
          <w:lang w:val="en-US" w:eastAsia="zh-CN"/>
        </w:rPr>
        <w:t>：《山东省失业保险规定》第十三条：同时具备下列条件的失业人员,可以领取失业保险金:（一）按规定参加失业保险,所在单位和本人已按照规定履行缴费义务满1年;（二）非因本人意愿中断就业;（三）己办理失业登记,并有求职要求。</w:t>
      </w:r>
    </w:p>
    <w:p>
      <w:pPr>
        <w:spacing w:before="156" w:beforeLines="50"/>
        <w:ind w:firstLine="420"/>
        <w:rPr>
          <w:rFonts w:hint="eastAsia" w:ascii="黑体" w:hAnsi="黑体" w:eastAsia="黑体" w:cs="Times New Roman"/>
          <w:sz w:val="32"/>
          <w:szCs w:val="32"/>
          <w:highlight w:val="none"/>
          <w:lang w:eastAsia="zh-CN"/>
        </w:rPr>
      </w:pPr>
      <w:r>
        <w:rPr>
          <w:rFonts w:hint="eastAsia" w:ascii="黑体" w:hAnsi="黑体" w:eastAsia="黑体" w:cs="Times New Roman"/>
          <w:sz w:val="32"/>
          <w:szCs w:val="32"/>
          <w:highlight w:val="none"/>
        </w:rPr>
        <w:t>命题单位：</w:t>
      </w:r>
      <w:r>
        <w:rPr>
          <w:rFonts w:hint="eastAsia" w:ascii="黑体" w:hAnsi="黑体" w:eastAsia="黑体" w:cs="Times New Roman"/>
          <w:sz w:val="32"/>
          <w:szCs w:val="32"/>
          <w:highlight w:val="none"/>
          <w:lang w:eastAsia="zh-CN"/>
        </w:rPr>
        <w:t>人力资源市场处</w:t>
      </w:r>
    </w:p>
    <w:p>
      <w:pPr>
        <w:widowControl/>
        <w:numPr>
          <w:ilvl w:val="0"/>
          <w:numId w:val="3"/>
        </w:numPr>
        <w:ind w:left="23" w:leftChars="0" w:firstLine="400" w:firstLineChars="0"/>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县级以上人民政府人力资源社会保障部门依法对人力资源市场进行检查时，可以采取哪些措施？</w:t>
      </w:r>
    </w:p>
    <w:p>
      <w:pPr>
        <w:ind w:firstLine="422"/>
        <w:rPr>
          <w:rFonts w:ascii="Times New Roman" w:hAnsi="Times New Roman" w:eastAsia="宋体" w:cs="Times New Roman"/>
          <w:sz w:val="32"/>
          <w:szCs w:val="32"/>
          <w:highlight w:val="none"/>
        </w:rPr>
      </w:pPr>
      <w:r>
        <w:rPr>
          <w:rFonts w:hint="eastAsia" w:ascii="宋体" w:hAnsi="宋体" w:eastAsia="宋体" w:cs="宋体"/>
          <w:b/>
          <w:bCs/>
          <w:sz w:val="32"/>
          <w:szCs w:val="32"/>
          <w:highlight w:val="none"/>
          <w:lang w:val="en-US" w:eastAsia="zh-CN"/>
        </w:rPr>
        <w:t>答</w:t>
      </w:r>
      <w:r>
        <w:rPr>
          <w:rFonts w:hint="eastAsia" w:ascii="宋体" w:hAnsi="宋体" w:eastAsia="宋体" w:cs="宋体"/>
          <w:sz w:val="32"/>
          <w:szCs w:val="32"/>
          <w:highlight w:val="none"/>
          <w:lang w:val="en-US" w:eastAsia="zh-CN"/>
        </w:rPr>
        <w:t>：（一）进入被检查单位进行检查；（二）询问有关人员，查阅服务信息档案；（三）要求被检查单位提供与检查事项相关的文件资料,并作出解释和说明；（四）采取记录、录音、录像、照相或者复制等方式收集有关情况和资料；（五）法律、法规规定的其他检查措施。</w:t>
      </w:r>
    </w:p>
    <w:p>
      <w:pPr>
        <w:spacing w:before="156" w:beforeLines="50"/>
        <w:ind w:firstLine="420"/>
        <w:rPr>
          <w:rFonts w:hint="eastAsia" w:ascii="宋体" w:hAnsi="宋体" w:eastAsia="宋体" w:cs="宋体"/>
          <w:sz w:val="32"/>
          <w:szCs w:val="32"/>
          <w:highlight w:val="none"/>
          <w:lang w:val="en-US" w:eastAsia="zh-CN"/>
        </w:rPr>
      </w:pPr>
      <w:r>
        <w:rPr>
          <w:rFonts w:hint="eastAsia" w:ascii="黑体" w:hAnsi="黑体" w:eastAsia="黑体" w:cs="Times New Roman"/>
          <w:sz w:val="32"/>
          <w:szCs w:val="32"/>
          <w:highlight w:val="none"/>
        </w:rPr>
        <w:t>命题单位：</w:t>
      </w:r>
      <w:r>
        <w:rPr>
          <w:rFonts w:hint="eastAsia" w:ascii="黑体" w:hAnsi="黑体" w:eastAsia="黑体" w:cs="Times New Roman"/>
          <w:sz w:val="32"/>
          <w:szCs w:val="32"/>
          <w:highlight w:val="none"/>
          <w:lang w:eastAsia="zh-CN"/>
        </w:rPr>
        <w:t>人力资源市场处</w:t>
      </w:r>
    </w:p>
    <w:p>
      <w:pPr>
        <w:widowControl/>
        <w:numPr>
          <w:ilvl w:val="0"/>
          <w:numId w:val="3"/>
        </w:numPr>
        <w:ind w:left="23" w:leftChars="0" w:firstLine="400" w:firstLineChars="0"/>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什么是人力资源服务？并列举至少五项人力资源服务活动。</w:t>
      </w:r>
    </w:p>
    <w:p>
      <w:pPr>
        <w:ind w:firstLine="422"/>
        <w:rPr>
          <w:rFonts w:ascii="Times New Roman" w:hAnsi="Times New Roman" w:eastAsia="宋体" w:cs="Times New Roman"/>
          <w:sz w:val="32"/>
          <w:szCs w:val="32"/>
          <w:highlight w:val="none"/>
        </w:rPr>
      </w:pPr>
      <w:r>
        <w:rPr>
          <w:rFonts w:hint="eastAsia" w:ascii="宋体" w:hAnsi="宋体" w:eastAsia="宋体" w:cs="宋体"/>
          <w:b/>
          <w:bCs/>
          <w:sz w:val="32"/>
          <w:szCs w:val="32"/>
          <w:highlight w:val="none"/>
          <w:lang w:val="en-US" w:eastAsia="zh-CN"/>
        </w:rPr>
        <w:t>答：</w:t>
      </w:r>
      <w:r>
        <w:rPr>
          <w:rFonts w:hint="eastAsia" w:ascii="宋体" w:hAnsi="宋体" w:eastAsia="宋体" w:cs="宋体"/>
          <w:sz w:val="32"/>
          <w:szCs w:val="32"/>
          <w:highlight w:val="none"/>
          <w:lang w:val="en-US" w:eastAsia="zh-CN"/>
        </w:rPr>
        <w:t>人力资源服务是为劳动者求职、用人单位招聘、人力资源开发配置提供的各类服务，主要包括下列活动：（一）职业介绍和职业指导；（二）人力资源供求信息的收集、整理、储存和发布；（三）绩效薪酬管理咨询、创业指导、职业生涯规划；（四）人力资源素质测评；（五）人力资源培训；（六）高级人才寻访；（七）举办人力资源交流会；（八）人力资源管理服务外包；（九）人力资源互联网信息服务；（十）受用人单位或者劳动者委托，代办社会保险事务；（十一）法律、法规未禁止的其他人力资源服务活动。</w:t>
      </w:r>
    </w:p>
    <w:p>
      <w:pPr>
        <w:spacing w:before="156" w:beforeLines="50"/>
        <w:ind w:firstLine="420"/>
        <w:rPr>
          <w:rFonts w:hint="eastAsia" w:ascii="黑体" w:hAnsi="黑体" w:eastAsia="黑体" w:cs="Times New Roman"/>
          <w:sz w:val="32"/>
          <w:szCs w:val="32"/>
          <w:highlight w:val="none"/>
          <w:lang w:eastAsia="zh-CN"/>
        </w:rPr>
      </w:pPr>
      <w:r>
        <w:rPr>
          <w:rFonts w:hint="eastAsia" w:ascii="黑体" w:hAnsi="黑体" w:eastAsia="黑体" w:cs="Times New Roman"/>
          <w:sz w:val="32"/>
          <w:szCs w:val="32"/>
          <w:highlight w:val="none"/>
        </w:rPr>
        <w:t>命题单位：</w:t>
      </w:r>
      <w:r>
        <w:rPr>
          <w:rFonts w:hint="eastAsia" w:ascii="黑体" w:hAnsi="黑体" w:eastAsia="黑体" w:cs="Times New Roman"/>
          <w:sz w:val="32"/>
          <w:szCs w:val="32"/>
          <w:highlight w:val="none"/>
          <w:lang w:eastAsia="zh-CN"/>
        </w:rPr>
        <w:t>人力资源市场处</w:t>
      </w:r>
    </w:p>
    <w:p>
      <w:pPr>
        <w:widowControl/>
        <w:numPr>
          <w:ilvl w:val="0"/>
          <w:numId w:val="3"/>
        </w:numPr>
        <w:ind w:left="23" w:leftChars="0" w:firstLine="400" w:firstLineChars="0"/>
        <w:jc w:val="left"/>
        <w:rPr>
          <w:rFonts w:hint="eastAsia"/>
          <w:color w:val="auto"/>
          <w:sz w:val="32"/>
          <w:szCs w:val="32"/>
          <w:highlight w:val="none"/>
          <w:lang w:val="en-US" w:eastAsia="zh-CN"/>
        </w:rPr>
      </w:pPr>
      <w:r>
        <w:rPr>
          <w:rFonts w:hint="eastAsia" w:ascii="黑体" w:hAnsi="黑体" w:eastAsia="黑体" w:cs="黑体"/>
          <w:sz w:val="32"/>
          <w:szCs w:val="32"/>
          <w:highlight w:val="none"/>
          <w:lang w:val="en-US" w:eastAsia="zh-CN"/>
        </w:rPr>
        <w:t>《山东省人力资源市场条例》禁止人力资源服务机构的行为有哪些？至少列举出五项。</w:t>
      </w:r>
    </w:p>
    <w:p>
      <w:pPr>
        <w:widowControl/>
        <w:numPr>
          <w:ilvl w:val="0"/>
          <w:numId w:val="0"/>
        </w:numPr>
        <w:ind w:firstLine="643" w:firstLineChars="200"/>
        <w:jc w:val="left"/>
        <w:rPr>
          <w:rFonts w:hint="eastAsia"/>
          <w:color w:val="auto"/>
          <w:sz w:val="32"/>
          <w:szCs w:val="32"/>
          <w:highlight w:val="none"/>
          <w:lang w:val="en-US" w:eastAsia="zh-CN"/>
        </w:rPr>
      </w:pPr>
      <w:r>
        <w:rPr>
          <w:rFonts w:hint="eastAsia" w:ascii="宋体" w:hAnsi="宋体" w:eastAsia="宋体" w:cs="宋体"/>
          <w:b/>
          <w:bCs/>
          <w:i w:val="0"/>
          <w:iCs w:val="0"/>
          <w:sz w:val="32"/>
          <w:szCs w:val="32"/>
          <w:highlight w:val="none"/>
          <w:lang w:val="en-US" w:eastAsia="zh-CN"/>
        </w:rPr>
        <w:t>答</w:t>
      </w:r>
      <w:r>
        <w:rPr>
          <w:rFonts w:hint="eastAsia" w:ascii="宋体" w:hAnsi="宋体" w:eastAsia="宋体" w:cs="宋体"/>
          <w:sz w:val="32"/>
          <w:szCs w:val="32"/>
          <w:highlight w:val="none"/>
          <w:lang w:val="en-US" w:eastAsia="zh-CN"/>
        </w:rPr>
        <w:t>：（一）提供虚假求职和招聘信息；（二）发布包含歧视性内容的招聘信息；（三）为无合法身份证件的求职者或者无合法证照的用人单位提供人力资源服务；（四）介绍未满十六周岁的未成年人就业；（五）介绍求职者从事法律、法规禁止的职业；（六）扣押求职者的居民身份证和其他证件，或者向求职者收取押金；（七）未经求职者、用人单位同意公开其信息，或者出售、非法向他人提供求职者、用人单位信息；（八）伪造、涂改、转让人力资源服务许可证；（九）以欺骗、贿赂等不正当手段取得人力资源服务许可；（十）以胁迫、欺诈等方式提供人力资源服务；（十一）其他违反法律、法规规定的行为。</w:t>
      </w:r>
    </w:p>
    <w:p>
      <w:pPr>
        <w:pStyle w:val="8"/>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en-US"/>
        </w:rPr>
      </w:pPr>
      <w:r>
        <w:rPr>
          <w:rFonts w:hint="eastAsia" w:ascii="黑体" w:hAnsi="Times New Roman" w:eastAsia="黑体" w:cs="黑体"/>
          <w:color w:val="auto"/>
          <w:kern w:val="2"/>
          <w:sz w:val="32"/>
          <w:szCs w:val="32"/>
          <w:highlight w:val="none"/>
          <w:lang w:val="en-US" w:eastAsia="zh-CN" w:bidi="ar"/>
        </w:rPr>
        <w:t>命题单位：职业能力建设处</w:t>
      </w:r>
    </w:p>
    <w:p>
      <w:pPr>
        <w:widowControl/>
        <w:numPr>
          <w:ilvl w:val="0"/>
          <w:numId w:val="3"/>
        </w:numPr>
        <w:ind w:left="23" w:leftChars="0" w:firstLine="400" w:firstLineChars="0"/>
        <w:jc w:val="left"/>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简述首席技师的基本定义。</w:t>
      </w:r>
    </w:p>
    <w:p>
      <w:pPr>
        <w:pStyle w:val="13"/>
        <w:numPr>
          <w:ilvl w:val="0"/>
          <w:numId w:val="0"/>
        </w:numPr>
        <w:ind w:firstLine="643" w:firstLineChars="200"/>
        <w:rPr>
          <w:rFonts w:hint="eastAsia" w:ascii="宋体" w:hAnsi="宋体" w:eastAsia="宋体" w:cs="宋体"/>
          <w:b w:val="0"/>
          <w:bCs w:val="0"/>
          <w:color w:val="auto"/>
          <w:sz w:val="32"/>
          <w:szCs w:val="32"/>
          <w:highlight w:val="none"/>
          <w:lang w:val="en-US" w:eastAsia="zh-CN"/>
        </w:rPr>
      </w:pPr>
      <w:r>
        <w:rPr>
          <w:rFonts w:hint="eastAsia"/>
          <w:b/>
          <w:bCs w:val="0"/>
          <w:color w:val="auto"/>
          <w:sz w:val="32"/>
          <w:szCs w:val="32"/>
          <w:highlight w:val="none"/>
          <w:lang w:val="en-US" w:eastAsia="zh-CN"/>
        </w:rPr>
        <w:t>答案：</w:t>
      </w:r>
      <w:r>
        <w:rPr>
          <w:rFonts w:hint="eastAsia" w:ascii="宋体" w:hAnsi="宋体" w:eastAsia="宋体" w:cs="宋体"/>
          <w:b w:val="0"/>
          <w:bCs w:val="0"/>
          <w:color w:val="auto"/>
          <w:sz w:val="32"/>
          <w:szCs w:val="32"/>
          <w:highlight w:val="none"/>
          <w:lang w:val="en-US" w:eastAsia="zh-CN"/>
        </w:rPr>
        <w:t>首席技师是指工人队伍中具有高超技能水平、良好职业道德、丰富实践经验、贡献比较突出、在全省本行业领域中影响带动作用大、得到业内广泛认可的高技能人才。</w:t>
      </w:r>
    </w:p>
    <w:p>
      <w:pPr>
        <w:widowControl/>
        <w:numPr>
          <w:ilvl w:val="0"/>
          <w:numId w:val="0"/>
        </w:numPr>
        <w:ind w:firstLine="643" w:firstLineChars="200"/>
        <w:jc w:val="left"/>
        <w:rPr>
          <w:rFonts w:hint="eastAsia" w:ascii="黑体" w:hAnsi="黑体" w:eastAsia="黑体" w:cs="黑体"/>
          <w:sz w:val="32"/>
          <w:szCs w:val="32"/>
          <w:highlight w:val="none"/>
          <w:lang w:val="en-US" w:eastAsia="zh-CN"/>
        </w:rPr>
      </w:pPr>
      <w:r>
        <w:rPr>
          <w:rFonts w:hint="eastAsia"/>
          <w:b/>
          <w:color w:val="auto"/>
          <w:sz w:val="32"/>
          <w:szCs w:val="32"/>
          <w:highlight w:val="none"/>
          <w:lang w:val="en-US" w:eastAsia="zh-CN"/>
        </w:rPr>
        <w:t>解析：</w:t>
      </w:r>
      <w:r>
        <w:rPr>
          <w:rFonts w:hint="eastAsia"/>
          <w:b w:val="0"/>
          <w:bCs/>
          <w:color w:val="auto"/>
          <w:sz w:val="32"/>
          <w:szCs w:val="32"/>
          <w:highlight w:val="none"/>
          <w:lang w:val="en-US" w:eastAsia="zh-CN"/>
        </w:rPr>
        <w:t>《山东省首席技师选拔管理办法》的通知）（鲁政办发）【2004】107号）。</w:t>
      </w:r>
    </w:p>
    <w:p>
      <w:pPr>
        <w:widowControl/>
        <w:ind w:firstLine="420"/>
        <w:jc w:val="left"/>
        <w:rPr>
          <w:rFonts w:ascii="Times New Roman" w:hAnsi="Times New Roman" w:eastAsia="宋体" w:cs="Times New Roman"/>
          <w:sz w:val="32"/>
          <w:szCs w:val="32"/>
          <w:highlight w:val="none"/>
        </w:rPr>
      </w:pPr>
      <w:r>
        <w:rPr>
          <w:rFonts w:ascii="Times New Roman" w:hAnsi="Times New Roman" w:eastAsia="宋体" w:cs="Times New Roman"/>
          <w:sz w:val="32"/>
          <w:szCs w:val="32"/>
          <w:highlight w:val="none"/>
        </w:rPr>
        <w:br w:type="page"/>
      </w:r>
    </w:p>
    <w:p>
      <w:pPr>
        <w:pStyle w:val="4"/>
        <w:spacing w:before="156" w:after="312"/>
        <w:ind w:firstLine="600"/>
        <w:rPr>
          <w:sz w:val="32"/>
          <w:szCs w:val="32"/>
          <w:highlight w:val="none"/>
        </w:rPr>
      </w:pPr>
      <w:r>
        <w:rPr>
          <w:rFonts w:hint="eastAsia"/>
          <w:sz w:val="32"/>
          <w:szCs w:val="32"/>
          <w:highlight w:val="none"/>
        </w:rPr>
        <w:t>（</w:t>
      </w:r>
      <w:r>
        <w:rPr>
          <w:rFonts w:hint="eastAsia"/>
          <w:sz w:val="32"/>
          <w:szCs w:val="32"/>
          <w:highlight w:val="none"/>
          <w:lang w:val="en-US" w:eastAsia="zh-CN"/>
        </w:rPr>
        <w:t>三</w:t>
      </w:r>
      <w:r>
        <w:rPr>
          <w:rFonts w:hint="eastAsia"/>
          <w:sz w:val="32"/>
          <w:szCs w:val="32"/>
          <w:highlight w:val="none"/>
        </w:rPr>
        <w:t>）社会保险</w:t>
      </w:r>
    </w:p>
    <w:p>
      <w:pPr>
        <w:pStyle w:val="2"/>
        <w:rPr>
          <w:rFonts w:hint="eastAsia" w:ascii="Times New Roman" w:hAnsi="Times New Roman" w:eastAsia="黑体" w:cs="Times New Roman"/>
          <w:bCs/>
          <w:sz w:val="32"/>
          <w:szCs w:val="32"/>
          <w:highlight w:val="none"/>
          <w:lang w:eastAsia="zh-CN"/>
        </w:rPr>
      </w:pPr>
      <w:r>
        <w:rPr>
          <w:rFonts w:hint="eastAsia" w:ascii="Times New Roman" w:hAnsi="Times New Roman" w:eastAsia="黑体" w:cs="Times New Roman"/>
          <w:bCs/>
          <w:sz w:val="32"/>
          <w:szCs w:val="32"/>
          <w:highlight w:val="none"/>
        </w:rPr>
        <w:t>命题单位：</w:t>
      </w:r>
      <w:r>
        <w:rPr>
          <w:rFonts w:hint="eastAsia" w:ascii="Times New Roman" w:hAnsi="Times New Roman" w:eastAsia="黑体" w:cs="Times New Roman"/>
          <w:bCs/>
          <w:sz w:val="32"/>
          <w:szCs w:val="32"/>
          <w:highlight w:val="none"/>
          <w:lang w:eastAsia="zh-CN"/>
        </w:rPr>
        <w:t>养老保险处</w:t>
      </w:r>
    </w:p>
    <w:p>
      <w:pPr>
        <w:widowControl/>
        <w:numPr>
          <w:ilvl w:val="0"/>
          <w:numId w:val="3"/>
        </w:numPr>
        <w:ind w:left="23" w:leftChars="0" w:firstLine="400" w:firstLineChars="0"/>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机关事业单位养老保险改革关于改革前曾参加企业职工基本养老保险、改革后参加机关事业单位基本养老保险的工作人员，视同缴费年限如何认定？</w:t>
      </w:r>
    </w:p>
    <w:p>
      <w:pPr>
        <w:pStyle w:val="2"/>
        <w:rPr>
          <w:rFonts w:hint="eastAsia" w:ascii="宋体" w:hAnsi="宋体" w:eastAsia="宋体" w:cs="宋体"/>
          <w:sz w:val="32"/>
          <w:szCs w:val="32"/>
          <w:highlight w:val="none"/>
        </w:rPr>
      </w:pPr>
      <w:r>
        <w:rPr>
          <w:rFonts w:hint="eastAsia" w:ascii="宋体" w:hAnsi="宋体" w:eastAsia="宋体" w:cs="宋体"/>
          <w:b/>
          <w:bCs/>
          <w:sz w:val="32"/>
          <w:szCs w:val="32"/>
          <w:highlight w:val="none"/>
          <w:lang w:eastAsia="zh-CN"/>
        </w:rPr>
        <w:t>答：</w:t>
      </w:r>
      <w:r>
        <w:rPr>
          <w:rFonts w:hint="eastAsia" w:ascii="宋体" w:hAnsi="宋体" w:eastAsia="宋体" w:cs="宋体"/>
          <w:sz w:val="32"/>
          <w:szCs w:val="32"/>
          <w:highlight w:val="none"/>
        </w:rPr>
        <w:t>对于改革前曾参加企业职工基本养老保险、改革后参加机关事业单位基本养老保险的工作人员，其参加企业职工基本养老保险的实际缴费年限应予确认，不认定为视同缴费年限，并与参加机关事业单位基本养老保险的实际缴费年限合并计算。其他情形视同缴费年限的认定，按照国家和省有关规定执行。在本人退休时，根据其实际缴费年限、视同缴费年限及对应的视同缴费指数等因素计发基本养老金。</w:t>
      </w:r>
    </w:p>
    <w:p>
      <w:pPr>
        <w:ind w:firstLine="422"/>
        <w:rPr>
          <w:rFonts w:ascii="Times New Roman" w:hAnsi="Times New Roman" w:eastAsia="宋体" w:cs="Times New Roman"/>
          <w:sz w:val="32"/>
          <w:szCs w:val="32"/>
          <w:highlight w:val="none"/>
        </w:rPr>
      </w:pPr>
      <w:r>
        <w:rPr>
          <w:rFonts w:hint="eastAsia" w:ascii="宋体" w:hAnsi="宋体" w:eastAsia="宋体" w:cs="宋体"/>
          <w:b/>
          <w:bCs/>
          <w:sz w:val="32"/>
          <w:szCs w:val="32"/>
          <w:highlight w:val="none"/>
          <w:lang w:eastAsia="zh-CN"/>
        </w:rPr>
        <w:t>解析</w:t>
      </w:r>
      <w:r>
        <w:rPr>
          <w:rFonts w:hint="eastAsia" w:ascii="宋体" w:hAnsi="宋体" w:eastAsia="宋体" w:cs="宋体"/>
          <w:b/>
          <w:bCs/>
          <w:sz w:val="32"/>
          <w:szCs w:val="32"/>
          <w:highlight w:val="none"/>
        </w:rPr>
        <w:t>：</w:t>
      </w:r>
      <w:r>
        <w:rPr>
          <w:rFonts w:hint="eastAsia" w:ascii="宋体" w:hAnsi="宋体" w:eastAsia="宋体" w:cs="宋体"/>
          <w:sz w:val="32"/>
          <w:szCs w:val="32"/>
          <w:highlight w:val="none"/>
        </w:rPr>
        <w:t>山东省人力资源和社会保障厅、山东省财政厅关于印发山东省机关事业单位工作人员养老保险制度改革实施办法的通知（鲁人社发〔2015〕46号）第四条关于视同缴费年限的认定</w:t>
      </w:r>
      <w:r>
        <w:rPr>
          <w:rFonts w:hint="eastAsia" w:ascii="宋体" w:hAnsi="宋体" w:eastAsia="宋体" w:cs="宋体"/>
          <w:sz w:val="32"/>
          <w:szCs w:val="32"/>
          <w:highlight w:val="none"/>
          <w:lang w:eastAsia="zh-CN"/>
        </w:rPr>
        <w:t>。</w:t>
      </w:r>
    </w:p>
    <w:p>
      <w:pPr>
        <w:spacing w:before="156" w:beforeLines="50"/>
        <w:ind w:firstLine="420"/>
        <w:rPr>
          <w:rFonts w:hint="eastAsia" w:ascii="宋体" w:hAnsi="宋体" w:eastAsia="黑体" w:cs="宋体"/>
          <w:sz w:val="32"/>
          <w:szCs w:val="32"/>
          <w:highlight w:val="none"/>
          <w:lang w:eastAsia="zh-CN"/>
        </w:rPr>
      </w:pPr>
      <w:r>
        <w:rPr>
          <w:rFonts w:hint="eastAsia" w:ascii="黑体" w:hAnsi="黑体" w:eastAsia="黑体" w:cs="Times New Roman"/>
          <w:sz w:val="32"/>
          <w:szCs w:val="32"/>
          <w:highlight w:val="none"/>
        </w:rPr>
        <w:t>命题单位：</w:t>
      </w:r>
      <w:r>
        <w:rPr>
          <w:rFonts w:hint="eastAsia" w:ascii="黑体" w:hAnsi="黑体" w:eastAsia="黑体" w:cs="Times New Roman"/>
          <w:sz w:val="32"/>
          <w:szCs w:val="32"/>
          <w:highlight w:val="none"/>
          <w:lang w:eastAsia="zh-CN"/>
        </w:rPr>
        <w:t>养老保险处</w:t>
      </w:r>
    </w:p>
    <w:p>
      <w:pPr>
        <w:widowControl/>
        <w:numPr>
          <w:ilvl w:val="0"/>
          <w:numId w:val="3"/>
        </w:numPr>
        <w:ind w:left="23" w:leftChars="0" w:firstLine="400" w:firstLineChars="0"/>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机关事业单位养老保险改革对于从机关事业单位辞职和按规定辞退的编制内工作人员，辞职、辞退后参加企业职工基本养老保险的，其视同缴费年限如何认定？</w:t>
      </w:r>
    </w:p>
    <w:p>
      <w:pPr>
        <w:pStyle w:val="2"/>
        <w:rPr>
          <w:rFonts w:hint="eastAsia" w:ascii="宋体" w:hAnsi="宋体" w:eastAsia="宋体" w:cs="宋体"/>
          <w:sz w:val="32"/>
          <w:szCs w:val="32"/>
          <w:highlight w:val="none"/>
        </w:rPr>
      </w:pPr>
      <w:r>
        <w:rPr>
          <w:rFonts w:hint="eastAsia" w:ascii="宋体" w:hAnsi="宋体" w:eastAsia="宋体" w:cs="宋体"/>
          <w:b/>
          <w:bCs/>
          <w:sz w:val="32"/>
          <w:szCs w:val="32"/>
          <w:highlight w:val="none"/>
          <w:lang w:eastAsia="zh-CN"/>
        </w:rPr>
        <w:t>答：</w:t>
      </w:r>
      <w:r>
        <w:rPr>
          <w:rFonts w:hint="eastAsia" w:ascii="宋体" w:hAnsi="宋体" w:eastAsia="宋体" w:cs="宋体"/>
          <w:sz w:val="32"/>
          <w:szCs w:val="32"/>
          <w:highlight w:val="none"/>
        </w:rPr>
        <w:t>对于从机关事业单位辞职和按规定辞退的编制内工作人员，辞职、辞退后参加企业职工基本养老保险的，其改革前原在机关事业单位的连续工龄，按规定认定为视同缴费年限，并与参加企业职工基本养老保险的实际缴费年限合并计算。在本人退休时，按照企业基本养老金计发办法计发基本养老金。</w:t>
      </w:r>
    </w:p>
    <w:p>
      <w:pPr>
        <w:ind w:firstLine="422"/>
        <w:rPr>
          <w:rFonts w:ascii="Times New Roman" w:hAnsi="Times New Roman" w:eastAsia="宋体" w:cs="Times New Roman"/>
          <w:sz w:val="32"/>
          <w:szCs w:val="32"/>
          <w:highlight w:val="none"/>
        </w:rPr>
      </w:pPr>
      <w:r>
        <w:rPr>
          <w:rFonts w:hint="eastAsia" w:ascii="宋体" w:hAnsi="宋体" w:eastAsia="宋体" w:cs="宋体"/>
          <w:b/>
          <w:bCs/>
          <w:sz w:val="32"/>
          <w:szCs w:val="32"/>
          <w:highlight w:val="none"/>
          <w:lang w:eastAsia="zh-CN"/>
        </w:rPr>
        <w:t>解析</w:t>
      </w:r>
      <w:r>
        <w:rPr>
          <w:rFonts w:hint="eastAsia" w:ascii="宋体" w:hAnsi="宋体" w:eastAsia="宋体" w:cs="宋体"/>
          <w:b/>
          <w:bCs/>
          <w:sz w:val="32"/>
          <w:szCs w:val="32"/>
          <w:highlight w:val="none"/>
        </w:rPr>
        <w:t>：</w:t>
      </w:r>
      <w:r>
        <w:rPr>
          <w:rFonts w:hint="eastAsia" w:ascii="宋体" w:hAnsi="宋体" w:eastAsia="宋体" w:cs="宋体"/>
          <w:sz w:val="32"/>
          <w:szCs w:val="32"/>
          <w:highlight w:val="none"/>
        </w:rPr>
        <w:t>山东省人力资源和社会保障厅、山东省财政厅关于印发山东省机关事业单位工作人员养老保险制度改革实施办法的通知（鲁人社发〔2015〕46号）第四条关于视同缴费年限的认定。</w:t>
      </w:r>
    </w:p>
    <w:p>
      <w:pPr>
        <w:spacing w:before="156" w:beforeLines="50"/>
        <w:ind w:firstLine="420"/>
        <w:rPr>
          <w:rFonts w:hint="eastAsia" w:ascii="宋体" w:hAnsi="宋体" w:eastAsia="黑体" w:cs="宋体"/>
          <w:sz w:val="32"/>
          <w:szCs w:val="32"/>
          <w:highlight w:val="none"/>
          <w:lang w:eastAsia="zh-CN"/>
        </w:rPr>
      </w:pPr>
      <w:r>
        <w:rPr>
          <w:rFonts w:hint="eastAsia" w:ascii="黑体" w:hAnsi="黑体" w:eastAsia="黑体" w:cs="Times New Roman"/>
          <w:sz w:val="32"/>
          <w:szCs w:val="32"/>
          <w:highlight w:val="none"/>
        </w:rPr>
        <w:t>命题单位：</w:t>
      </w:r>
      <w:r>
        <w:rPr>
          <w:rFonts w:hint="eastAsia" w:ascii="黑体" w:hAnsi="黑体" w:eastAsia="黑体" w:cs="Times New Roman"/>
          <w:sz w:val="32"/>
          <w:szCs w:val="32"/>
          <w:highlight w:val="none"/>
          <w:lang w:eastAsia="zh-CN"/>
        </w:rPr>
        <w:t>养老保险处</w:t>
      </w:r>
    </w:p>
    <w:p>
      <w:pPr>
        <w:widowControl/>
        <w:numPr>
          <w:ilvl w:val="0"/>
          <w:numId w:val="3"/>
        </w:numPr>
        <w:ind w:left="23" w:leftChars="0" w:firstLine="400" w:firstLineChars="0"/>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依法参加社会保险并按规定履行缴费义务的用人单位，符合哪些情况之一的，可以申请缓缴社会保险费？</w:t>
      </w:r>
    </w:p>
    <w:p>
      <w:pPr>
        <w:pStyle w:val="2"/>
        <w:rPr>
          <w:rFonts w:hint="eastAsia" w:ascii="宋体" w:hAnsi="宋体" w:eastAsia="宋体" w:cs="宋体"/>
          <w:sz w:val="32"/>
          <w:szCs w:val="32"/>
          <w:highlight w:val="none"/>
        </w:rPr>
      </w:pPr>
      <w:r>
        <w:rPr>
          <w:rFonts w:hint="eastAsia" w:ascii="宋体" w:hAnsi="宋体" w:eastAsia="宋体" w:cs="宋体"/>
          <w:b/>
          <w:bCs/>
          <w:sz w:val="32"/>
          <w:szCs w:val="32"/>
          <w:highlight w:val="none"/>
          <w:lang w:eastAsia="zh-CN"/>
        </w:rPr>
        <w:t>答：</w:t>
      </w:r>
      <w:r>
        <w:rPr>
          <w:rFonts w:hint="eastAsia" w:ascii="宋体" w:hAnsi="宋体" w:eastAsia="宋体" w:cs="宋体"/>
          <w:sz w:val="32"/>
          <w:szCs w:val="32"/>
          <w:highlight w:val="none"/>
        </w:rPr>
        <w:t>（一）因不可抗力，造成生产经营严重困难，无力支付职工最低工资</w:t>
      </w:r>
      <w:r>
        <w:rPr>
          <w:rFonts w:hint="eastAsia" w:ascii="宋体" w:hAnsi="宋体" w:eastAsia="宋体" w:cs="宋体"/>
          <w:sz w:val="32"/>
          <w:szCs w:val="32"/>
          <w:highlight w:val="none"/>
          <w:lang w:eastAsia="zh-CN"/>
        </w:rPr>
        <w:t>达到一定时限</w:t>
      </w:r>
      <w:r>
        <w:rPr>
          <w:rFonts w:hint="eastAsia" w:ascii="宋体" w:hAnsi="宋体" w:eastAsia="宋体" w:cs="宋体"/>
          <w:sz w:val="32"/>
          <w:szCs w:val="32"/>
          <w:highlight w:val="none"/>
        </w:rPr>
        <w:t>的。（二）因不可抗力，造成无法正常生产经营</w:t>
      </w:r>
      <w:r>
        <w:rPr>
          <w:rFonts w:hint="eastAsia" w:ascii="宋体" w:hAnsi="宋体" w:eastAsia="宋体" w:cs="宋体"/>
          <w:sz w:val="32"/>
          <w:szCs w:val="32"/>
          <w:highlight w:val="none"/>
          <w:lang w:eastAsia="zh-CN"/>
        </w:rPr>
        <w:t>达到一定时限的</w:t>
      </w:r>
      <w:r>
        <w:rPr>
          <w:rFonts w:hint="eastAsia" w:ascii="宋体" w:hAnsi="宋体" w:eastAsia="宋体" w:cs="宋体"/>
          <w:sz w:val="32"/>
          <w:szCs w:val="32"/>
          <w:highlight w:val="none"/>
        </w:rPr>
        <w:t>，职工仅发生活费的。（三）其它因法定事由可以缓缴的情况。</w:t>
      </w:r>
    </w:p>
    <w:p>
      <w:pPr>
        <w:ind w:firstLine="422"/>
        <w:rPr>
          <w:rFonts w:ascii="Times New Roman" w:hAnsi="Times New Roman" w:eastAsia="宋体" w:cs="Times New Roman"/>
          <w:sz w:val="32"/>
          <w:szCs w:val="32"/>
          <w:highlight w:val="none"/>
        </w:rPr>
      </w:pPr>
      <w:r>
        <w:rPr>
          <w:rFonts w:hint="eastAsia" w:ascii="宋体" w:hAnsi="宋体" w:eastAsia="宋体" w:cs="宋体"/>
          <w:b/>
          <w:bCs/>
          <w:sz w:val="32"/>
          <w:szCs w:val="32"/>
          <w:highlight w:val="none"/>
          <w:lang w:eastAsia="zh-CN"/>
        </w:rPr>
        <w:t>解析</w:t>
      </w:r>
      <w:r>
        <w:rPr>
          <w:rFonts w:hint="eastAsia" w:ascii="宋体" w:hAnsi="宋体" w:eastAsia="宋体" w:cs="宋体"/>
          <w:sz w:val="32"/>
          <w:szCs w:val="32"/>
          <w:highlight w:val="none"/>
        </w:rPr>
        <w:t>：山东省人力资源和社会保障厅关于生产经营严重困难单位缓缴社会保险费有关问题的通知（鲁人社发〔2015〕31号）第一条缓缴条件。</w:t>
      </w:r>
    </w:p>
    <w:p>
      <w:pPr>
        <w:spacing w:before="156" w:beforeLines="50"/>
        <w:ind w:firstLine="420"/>
        <w:rPr>
          <w:rFonts w:hint="eastAsia" w:ascii="Times New Roman" w:hAnsi="Times New Roman" w:eastAsia="黑体" w:cs="Times New Roman"/>
          <w:bCs/>
          <w:sz w:val="32"/>
          <w:szCs w:val="32"/>
          <w:highlight w:val="none"/>
          <w:lang w:eastAsia="zh-CN"/>
        </w:rPr>
      </w:pPr>
      <w:r>
        <w:rPr>
          <w:rFonts w:hint="eastAsia" w:ascii="黑体" w:hAnsi="黑体" w:eastAsia="黑体" w:cs="Times New Roman"/>
          <w:sz w:val="32"/>
          <w:szCs w:val="32"/>
          <w:highlight w:val="none"/>
        </w:rPr>
        <w:t>命题单位：</w:t>
      </w:r>
      <w:r>
        <w:rPr>
          <w:rFonts w:hint="eastAsia" w:ascii="黑体" w:hAnsi="黑体" w:eastAsia="黑体" w:cs="Times New Roman"/>
          <w:sz w:val="32"/>
          <w:szCs w:val="32"/>
          <w:highlight w:val="none"/>
          <w:lang w:eastAsia="zh-CN"/>
        </w:rPr>
        <w:t>养老保险处</w:t>
      </w:r>
    </w:p>
    <w:p>
      <w:pPr>
        <w:widowControl/>
        <w:numPr>
          <w:ilvl w:val="0"/>
          <w:numId w:val="3"/>
        </w:numPr>
        <w:ind w:left="23" w:leftChars="0" w:firstLine="400" w:firstLineChars="0"/>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参保人员未达到按月领取基本养老金条件时，因病或非因工死亡的，应将哪些死亡待遇纳入基本养老保险统筹基金支付？</w:t>
      </w:r>
    </w:p>
    <w:p>
      <w:pPr>
        <w:pStyle w:val="2"/>
        <w:rPr>
          <w:rFonts w:hint="eastAsia" w:ascii="宋体" w:hAnsi="宋体" w:eastAsia="宋体" w:cs="宋体"/>
          <w:sz w:val="32"/>
          <w:szCs w:val="32"/>
          <w:highlight w:val="none"/>
          <w:lang w:val="en-US" w:eastAsia="zh-CN"/>
        </w:rPr>
      </w:pPr>
      <w:r>
        <w:rPr>
          <w:rFonts w:hint="eastAsia" w:ascii="宋体" w:hAnsi="宋体" w:eastAsia="宋体" w:cs="宋体"/>
          <w:b/>
          <w:bCs/>
          <w:sz w:val="32"/>
          <w:szCs w:val="32"/>
          <w:highlight w:val="none"/>
          <w:lang w:val="en-US" w:eastAsia="zh-CN"/>
        </w:rPr>
        <w:t>答：</w:t>
      </w:r>
      <w:r>
        <w:rPr>
          <w:rFonts w:hint="eastAsia" w:ascii="宋体" w:hAnsi="宋体" w:eastAsia="宋体" w:cs="宋体"/>
          <w:sz w:val="32"/>
          <w:szCs w:val="32"/>
          <w:highlight w:val="none"/>
          <w:lang w:val="en-US" w:eastAsia="zh-CN"/>
        </w:rPr>
        <w:t>按鲁劳社〔2003〕53号文件规定的丧葬补助费，全额纳入统筹。按鲁劳发〔1993〕343号文件第一条第（二）项规定的一次性救济费，根据本人缴费年限（含视同缴费年限，下同），满15年的，全额纳入统筹；不满15年的，缴费年限每满一年（不满一年按一年计算），按十五分之一纳入统筹；其余部分，仍按原渠道列支。</w:t>
      </w:r>
    </w:p>
    <w:p>
      <w:pPr>
        <w:pStyle w:val="2"/>
        <w:rPr>
          <w:rFonts w:ascii="Times New Roman" w:hAnsi="Times New Roman" w:eastAsia="宋体" w:cs="Times New Roman"/>
          <w:sz w:val="32"/>
          <w:szCs w:val="32"/>
          <w:highlight w:val="none"/>
        </w:rPr>
      </w:pPr>
      <w:r>
        <w:rPr>
          <w:rFonts w:hint="eastAsia" w:ascii="宋体" w:hAnsi="宋体" w:eastAsia="宋体" w:cs="宋体"/>
          <w:b/>
          <w:bCs/>
          <w:sz w:val="32"/>
          <w:szCs w:val="32"/>
          <w:highlight w:val="none"/>
          <w:lang w:val="en-US" w:eastAsia="zh-CN"/>
        </w:rPr>
        <w:t>解析</w:t>
      </w:r>
      <w:r>
        <w:rPr>
          <w:rFonts w:hint="eastAsia" w:ascii="宋体" w:hAnsi="宋体" w:eastAsia="宋体" w:cs="宋体"/>
          <w:sz w:val="32"/>
          <w:szCs w:val="32"/>
          <w:highlight w:val="none"/>
          <w:lang w:val="en-US" w:eastAsia="zh-CN"/>
        </w:rPr>
        <w:t>：山东省人力资源和社会保障厅山东省财政厅关于参加企业职工基本养老保险人员因病或非因公死亡有关待遇纳入统筹的通知（鲁人社办发〔2013〕92号）第一条。</w:t>
      </w:r>
    </w:p>
    <w:p>
      <w:pPr>
        <w:spacing w:before="156" w:beforeLines="50"/>
        <w:ind w:firstLine="420"/>
        <w:rPr>
          <w:rFonts w:hint="eastAsia" w:ascii="宋体" w:hAnsi="宋体" w:eastAsia="黑体" w:cs="宋体"/>
          <w:sz w:val="32"/>
          <w:szCs w:val="32"/>
          <w:highlight w:val="none"/>
          <w:lang w:eastAsia="zh-CN"/>
        </w:rPr>
      </w:pPr>
      <w:r>
        <w:rPr>
          <w:rFonts w:hint="eastAsia" w:ascii="黑体" w:hAnsi="黑体" w:eastAsia="黑体" w:cs="Times New Roman"/>
          <w:sz w:val="32"/>
          <w:szCs w:val="32"/>
          <w:highlight w:val="none"/>
        </w:rPr>
        <w:t>命题单位：</w:t>
      </w:r>
      <w:r>
        <w:rPr>
          <w:rFonts w:hint="eastAsia" w:ascii="黑体" w:hAnsi="黑体" w:eastAsia="黑体" w:cs="Times New Roman"/>
          <w:sz w:val="32"/>
          <w:szCs w:val="32"/>
          <w:highlight w:val="none"/>
          <w:lang w:eastAsia="zh-CN"/>
        </w:rPr>
        <w:t>养老保险处</w:t>
      </w:r>
    </w:p>
    <w:p>
      <w:pPr>
        <w:widowControl/>
        <w:numPr>
          <w:ilvl w:val="0"/>
          <w:numId w:val="3"/>
        </w:numPr>
        <w:ind w:left="23" w:leftChars="0" w:firstLine="400" w:firstLineChars="0"/>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缓缴社会保险费和延期缴纳社会保险费的法律依据各是什么？</w:t>
      </w:r>
    </w:p>
    <w:p>
      <w:pPr>
        <w:pStyle w:val="2"/>
        <w:rPr>
          <w:rFonts w:hint="eastAsia" w:ascii="宋体" w:hAnsi="宋体" w:eastAsia="宋体" w:cs="宋体"/>
          <w:sz w:val="32"/>
          <w:szCs w:val="32"/>
          <w:highlight w:val="none"/>
          <w:lang w:val="en-US" w:eastAsia="zh-CN"/>
        </w:rPr>
      </w:pPr>
      <w:r>
        <w:rPr>
          <w:rFonts w:hint="eastAsia" w:ascii="宋体" w:hAnsi="宋体" w:eastAsia="宋体" w:cs="宋体"/>
          <w:b/>
          <w:bCs/>
          <w:sz w:val="32"/>
          <w:szCs w:val="32"/>
          <w:highlight w:val="none"/>
          <w:lang w:val="en-US" w:eastAsia="zh-CN"/>
        </w:rPr>
        <w:t>答：</w:t>
      </w:r>
      <w:r>
        <w:rPr>
          <w:rFonts w:hint="eastAsia" w:ascii="宋体" w:hAnsi="宋体" w:eastAsia="宋体" w:cs="宋体"/>
          <w:sz w:val="32"/>
          <w:szCs w:val="32"/>
          <w:highlight w:val="none"/>
          <w:lang w:val="en-US" w:eastAsia="zh-CN"/>
        </w:rPr>
        <w:t>缓缴社会保险费依据：《中华人民共和国社会保险法》《实施&lt;中华人民共和国社会保险法&gt;若干规定》（中华人民共和国人力资源社会保障部令第13号）</w:t>
      </w:r>
    </w:p>
    <w:p>
      <w:pPr>
        <w:pStyle w:val="2"/>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延期缴纳社会保险费依据：《社会保险费申报缴纳管理规定》（中华人民共和国人力资源和社会保障部令第20号）</w:t>
      </w:r>
    </w:p>
    <w:p>
      <w:pPr>
        <w:pStyle w:val="2"/>
        <w:rPr>
          <w:rFonts w:ascii="Times New Roman" w:hAnsi="Times New Roman" w:eastAsia="宋体" w:cs="Times New Roman"/>
          <w:sz w:val="32"/>
          <w:szCs w:val="32"/>
          <w:highlight w:val="none"/>
        </w:rPr>
      </w:pPr>
      <w:r>
        <w:rPr>
          <w:rFonts w:hint="eastAsia" w:ascii="宋体" w:hAnsi="宋体" w:eastAsia="宋体" w:cs="宋体"/>
          <w:b/>
          <w:bCs/>
          <w:sz w:val="32"/>
          <w:szCs w:val="32"/>
          <w:highlight w:val="none"/>
          <w:lang w:val="en-US" w:eastAsia="zh-CN"/>
        </w:rPr>
        <w:t>解析</w:t>
      </w:r>
      <w:r>
        <w:rPr>
          <w:rFonts w:hint="eastAsia" w:ascii="宋体" w:hAnsi="宋体" w:eastAsia="宋体" w:cs="宋体"/>
          <w:sz w:val="32"/>
          <w:szCs w:val="32"/>
          <w:highlight w:val="none"/>
          <w:lang w:val="en-US" w:eastAsia="zh-CN"/>
        </w:rPr>
        <w:t>：</w:t>
      </w:r>
      <w:r>
        <w:rPr>
          <w:rFonts w:hint="eastAsia" w:ascii="宋体" w:hAnsi="宋体" w:eastAsia="宋体" w:cs="宋体"/>
          <w:sz w:val="32"/>
          <w:szCs w:val="32"/>
          <w:highlight w:val="none"/>
        </w:rPr>
        <w:t>山东省人力资源和社会保障厅关于生产经营严重困难单位缓缴社会保险费有关问题的通知（鲁人社发〔2015〕31号）</w:t>
      </w:r>
    </w:p>
    <w:p>
      <w:pPr>
        <w:spacing w:before="156" w:beforeLines="50"/>
        <w:ind w:firstLine="420"/>
        <w:rPr>
          <w:rFonts w:hint="eastAsia" w:ascii="宋体" w:hAnsi="宋体" w:eastAsia="黑体" w:cs="宋体"/>
          <w:sz w:val="32"/>
          <w:szCs w:val="32"/>
          <w:highlight w:val="none"/>
          <w:lang w:eastAsia="zh-CN"/>
        </w:rPr>
      </w:pPr>
      <w:r>
        <w:rPr>
          <w:rFonts w:hint="eastAsia" w:ascii="黑体" w:hAnsi="黑体" w:eastAsia="黑体" w:cs="Times New Roman"/>
          <w:sz w:val="32"/>
          <w:szCs w:val="32"/>
          <w:highlight w:val="none"/>
        </w:rPr>
        <w:t>命题单位：</w:t>
      </w:r>
      <w:r>
        <w:rPr>
          <w:rFonts w:hint="eastAsia" w:ascii="黑体" w:hAnsi="黑体" w:eastAsia="黑体" w:cs="Times New Roman"/>
          <w:sz w:val="32"/>
          <w:szCs w:val="32"/>
          <w:highlight w:val="none"/>
          <w:lang w:eastAsia="zh-CN"/>
        </w:rPr>
        <w:t>工伤保险处</w:t>
      </w:r>
    </w:p>
    <w:p>
      <w:pPr>
        <w:widowControl/>
        <w:numPr>
          <w:ilvl w:val="0"/>
          <w:numId w:val="3"/>
        </w:numPr>
        <w:ind w:left="23" w:leftChars="0" w:firstLine="400" w:firstLineChars="0"/>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我省职工因工致残被鉴定为五级、六级伤残，用人单位难以安排工作的，在按月领取伤残津贴期间，伤残津贴如何调整？</w:t>
      </w:r>
    </w:p>
    <w:p>
      <w:pPr>
        <w:pStyle w:val="2"/>
        <w:rPr>
          <w:rFonts w:hint="eastAsia" w:ascii="宋体" w:hAnsi="宋体" w:eastAsia="宋体" w:cs="宋体"/>
          <w:sz w:val="32"/>
          <w:szCs w:val="32"/>
          <w:highlight w:val="none"/>
        </w:rPr>
      </w:pPr>
      <w:r>
        <w:rPr>
          <w:rFonts w:hint="eastAsia" w:ascii="宋体" w:hAnsi="宋体" w:eastAsia="宋体" w:cs="宋体"/>
          <w:b/>
          <w:bCs/>
          <w:sz w:val="32"/>
          <w:szCs w:val="32"/>
          <w:highlight w:val="none"/>
        </w:rPr>
        <w:t>答</w:t>
      </w:r>
      <w:r>
        <w:rPr>
          <w:rFonts w:hint="eastAsia" w:ascii="宋体" w:hAnsi="宋体" w:eastAsia="宋体" w:cs="宋体"/>
          <w:sz w:val="32"/>
          <w:szCs w:val="32"/>
          <w:highlight w:val="none"/>
        </w:rPr>
        <w:t>：职工因工致残被鉴定为五级、六级伤残，用人单位难以安排工作的，在按月领取伤残津贴期间，如一级至四级工伤职工伤残津贴调整，其伤残津贴应随一级至四级工伤职工伤残津贴的调整时间予以调整，具体标准分别按统筹地区四级工伤职工伤残津贴调整标准的90%、80%相应增加。伤残津贴实际金额低于当地最低工资标准的，由用人单位补足差额。</w:t>
      </w:r>
    </w:p>
    <w:p>
      <w:pPr>
        <w:pStyle w:val="2"/>
        <w:rPr>
          <w:rFonts w:ascii="Times New Roman" w:hAnsi="Times New Roman" w:eastAsia="宋体" w:cs="Times New Roman"/>
          <w:sz w:val="32"/>
          <w:szCs w:val="32"/>
          <w:highlight w:val="none"/>
        </w:rPr>
      </w:pPr>
      <w:r>
        <w:rPr>
          <w:rFonts w:hint="eastAsia" w:ascii="宋体" w:hAnsi="宋体" w:eastAsia="宋体" w:cs="宋体"/>
          <w:b/>
          <w:bCs/>
          <w:sz w:val="32"/>
          <w:szCs w:val="32"/>
          <w:highlight w:val="none"/>
          <w:lang w:eastAsia="zh-CN"/>
        </w:rPr>
        <w:t>解析</w:t>
      </w:r>
      <w:r>
        <w:rPr>
          <w:rFonts w:hint="eastAsia" w:ascii="宋体" w:hAnsi="宋体" w:eastAsia="宋体" w:cs="宋体"/>
          <w:b/>
          <w:bCs/>
          <w:sz w:val="32"/>
          <w:szCs w:val="32"/>
          <w:highlight w:val="none"/>
        </w:rPr>
        <w:t>：</w:t>
      </w:r>
      <w:r>
        <w:rPr>
          <w:rFonts w:hint="eastAsia" w:ascii="宋体" w:hAnsi="宋体" w:eastAsia="宋体" w:cs="宋体"/>
          <w:sz w:val="32"/>
          <w:szCs w:val="32"/>
          <w:highlight w:val="none"/>
        </w:rPr>
        <w:t>鲁政发〔2011〕25号第二十四条</w:t>
      </w:r>
    </w:p>
    <w:p>
      <w:pPr>
        <w:spacing w:before="156" w:beforeLines="50"/>
        <w:ind w:firstLine="420"/>
        <w:rPr>
          <w:rFonts w:hint="eastAsia" w:ascii="Times New Roman" w:hAnsi="Times New Roman" w:eastAsia="黑体" w:cs="Times New Roman"/>
          <w:bCs/>
          <w:sz w:val="32"/>
          <w:szCs w:val="32"/>
          <w:highlight w:val="none"/>
          <w:lang w:eastAsia="zh-CN"/>
        </w:rPr>
      </w:pPr>
      <w:r>
        <w:rPr>
          <w:rFonts w:hint="eastAsia" w:ascii="黑体" w:hAnsi="黑体" w:eastAsia="黑体" w:cs="Times New Roman"/>
          <w:sz w:val="32"/>
          <w:szCs w:val="32"/>
          <w:highlight w:val="none"/>
        </w:rPr>
        <w:t>命题单位：</w:t>
      </w:r>
      <w:r>
        <w:rPr>
          <w:rFonts w:hint="eastAsia" w:ascii="黑体" w:hAnsi="黑体" w:eastAsia="黑体" w:cs="Times New Roman"/>
          <w:sz w:val="32"/>
          <w:szCs w:val="32"/>
          <w:highlight w:val="none"/>
          <w:lang w:eastAsia="zh-CN"/>
        </w:rPr>
        <w:t>工伤保险处</w:t>
      </w:r>
    </w:p>
    <w:p>
      <w:pPr>
        <w:widowControl/>
        <w:numPr>
          <w:ilvl w:val="0"/>
          <w:numId w:val="3"/>
        </w:numPr>
        <w:ind w:left="23" w:leftChars="0" w:firstLine="400" w:firstLineChars="0"/>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统筹地区已实现工伤保险市级统筹，按时足额上解工伤保险省级调剂金，完成上年度工伤保险参保和基金征缴计划，建立并运行工伤保险储备金制度，具备何种情形，可以申请使用工伤保险省级调剂金？</w:t>
      </w:r>
    </w:p>
    <w:p>
      <w:pPr>
        <w:pStyle w:val="2"/>
        <w:rPr>
          <w:rFonts w:hint="eastAsia" w:ascii="宋体" w:hAnsi="宋体" w:eastAsia="宋体" w:cs="宋体"/>
          <w:sz w:val="32"/>
          <w:szCs w:val="32"/>
          <w:highlight w:val="none"/>
        </w:rPr>
      </w:pPr>
      <w:r>
        <w:rPr>
          <w:rFonts w:hint="eastAsia" w:ascii="宋体" w:hAnsi="宋体" w:eastAsia="宋体" w:cs="宋体"/>
          <w:b/>
          <w:bCs/>
          <w:sz w:val="32"/>
          <w:szCs w:val="32"/>
          <w:highlight w:val="none"/>
        </w:rPr>
        <w:t>答：</w:t>
      </w:r>
      <w:r>
        <w:rPr>
          <w:rFonts w:hint="eastAsia" w:ascii="宋体" w:hAnsi="宋体" w:eastAsia="宋体" w:cs="宋体"/>
          <w:sz w:val="32"/>
          <w:szCs w:val="32"/>
          <w:highlight w:val="none"/>
        </w:rPr>
        <w:t>统筹地区已实现工伤保险市级统筹，按时足额上解工伤保险省级调剂金，完成上年度工伤保险参保和基金征缴计划，建立并运行工伤保险储备金制度，具备下列情形之一的，可以申请使用工伤保险省级调剂金。</w:t>
      </w:r>
    </w:p>
    <w:p>
      <w:pPr>
        <w:pStyle w:val="2"/>
        <w:rPr>
          <w:rFonts w:hint="eastAsia" w:ascii="宋体" w:hAnsi="宋体" w:eastAsia="宋体" w:cs="宋体"/>
          <w:sz w:val="32"/>
          <w:szCs w:val="32"/>
          <w:highlight w:val="none"/>
        </w:rPr>
      </w:pPr>
      <w:r>
        <w:rPr>
          <w:rFonts w:hint="eastAsia" w:ascii="宋体" w:hAnsi="宋体" w:eastAsia="宋体" w:cs="宋体"/>
          <w:sz w:val="32"/>
          <w:szCs w:val="32"/>
          <w:highlight w:val="none"/>
        </w:rPr>
        <w:t>（一）工伤保险基金累计结余（包括储备金）不足2个月的工伤保险待遇支出；</w:t>
      </w:r>
    </w:p>
    <w:p>
      <w:pPr>
        <w:pStyle w:val="2"/>
        <w:rPr>
          <w:rFonts w:hint="eastAsia" w:ascii="宋体" w:hAnsi="宋体" w:eastAsia="宋体" w:cs="宋体"/>
          <w:sz w:val="32"/>
          <w:szCs w:val="32"/>
          <w:highlight w:val="none"/>
        </w:rPr>
      </w:pPr>
      <w:r>
        <w:rPr>
          <w:rFonts w:hint="eastAsia" w:ascii="宋体" w:hAnsi="宋体" w:eastAsia="宋体" w:cs="宋体"/>
          <w:sz w:val="32"/>
          <w:szCs w:val="32"/>
          <w:highlight w:val="none"/>
        </w:rPr>
        <w:t>（二）参加工伤保险的用人单位发生符合国家安全生产事故分类标准的重大及以上事故；</w:t>
      </w:r>
    </w:p>
    <w:p>
      <w:pPr>
        <w:pStyle w:val="2"/>
        <w:rPr>
          <w:rFonts w:hint="eastAsia" w:ascii="宋体" w:hAnsi="宋体" w:eastAsia="宋体" w:cs="宋体"/>
          <w:sz w:val="32"/>
          <w:szCs w:val="32"/>
          <w:highlight w:val="none"/>
        </w:rPr>
      </w:pPr>
      <w:r>
        <w:rPr>
          <w:rFonts w:hint="eastAsia" w:ascii="宋体" w:hAnsi="宋体" w:eastAsia="宋体" w:cs="宋体"/>
          <w:sz w:val="32"/>
          <w:szCs w:val="32"/>
          <w:highlight w:val="none"/>
        </w:rPr>
        <w:t>（三）其他需要省级调剂补助的特殊情况。</w:t>
      </w:r>
    </w:p>
    <w:p>
      <w:pPr>
        <w:pStyle w:val="2"/>
        <w:rPr>
          <w:rFonts w:ascii="Times New Roman" w:hAnsi="Times New Roman" w:eastAsia="宋体" w:cs="Times New Roman"/>
          <w:sz w:val="32"/>
          <w:szCs w:val="32"/>
          <w:highlight w:val="none"/>
        </w:rPr>
      </w:pPr>
      <w:r>
        <w:rPr>
          <w:rFonts w:hint="eastAsia" w:ascii="宋体" w:hAnsi="宋体" w:eastAsia="宋体" w:cs="宋体"/>
          <w:b/>
          <w:bCs/>
          <w:sz w:val="32"/>
          <w:szCs w:val="32"/>
          <w:highlight w:val="none"/>
          <w:lang w:eastAsia="zh-CN"/>
        </w:rPr>
        <w:t>解析</w:t>
      </w:r>
      <w:r>
        <w:rPr>
          <w:rFonts w:hint="eastAsia" w:ascii="宋体" w:hAnsi="宋体" w:eastAsia="宋体" w:cs="宋体"/>
          <w:sz w:val="32"/>
          <w:szCs w:val="32"/>
          <w:highlight w:val="none"/>
        </w:rPr>
        <w:t>：鲁人社发〔2017〕3号第四条</w:t>
      </w:r>
      <w:r>
        <w:rPr>
          <w:rFonts w:hint="eastAsia" w:ascii="宋体" w:hAnsi="宋体" w:eastAsia="宋体" w:cs="宋体"/>
          <w:sz w:val="32"/>
          <w:szCs w:val="32"/>
          <w:highlight w:val="none"/>
          <w:lang w:eastAsia="zh-CN"/>
        </w:rPr>
        <w:t>。</w:t>
      </w:r>
    </w:p>
    <w:p>
      <w:pPr>
        <w:spacing w:before="156" w:beforeLines="50"/>
        <w:ind w:firstLine="420"/>
        <w:rPr>
          <w:rFonts w:hint="eastAsia" w:ascii="宋体" w:hAnsi="宋体" w:eastAsia="黑体" w:cs="宋体"/>
          <w:sz w:val="32"/>
          <w:szCs w:val="32"/>
          <w:highlight w:val="none"/>
          <w:lang w:eastAsia="zh-CN"/>
        </w:rPr>
      </w:pPr>
      <w:r>
        <w:rPr>
          <w:rFonts w:hint="eastAsia" w:ascii="黑体" w:hAnsi="黑体" w:eastAsia="黑体" w:cs="Times New Roman"/>
          <w:sz w:val="32"/>
          <w:szCs w:val="32"/>
          <w:highlight w:val="none"/>
        </w:rPr>
        <w:t>命题单位：</w:t>
      </w:r>
      <w:r>
        <w:rPr>
          <w:rFonts w:hint="eastAsia" w:ascii="黑体" w:hAnsi="黑体" w:eastAsia="黑体" w:cs="Times New Roman"/>
          <w:sz w:val="32"/>
          <w:szCs w:val="32"/>
          <w:highlight w:val="none"/>
          <w:lang w:eastAsia="zh-CN"/>
        </w:rPr>
        <w:t>工伤保险处</w:t>
      </w:r>
    </w:p>
    <w:p>
      <w:pPr>
        <w:widowControl/>
        <w:numPr>
          <w:ilvl w:val="0"/>
          <w:numId w:val="3"/>
        </w:numPr>
        <w:ind w:left="23" w:leftChars="0" w:firstLine="400" w:firstLineChars="0"/>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破产、关闭、解散和注销企业的工伤职工，我省如何保障其工伤保险待遇？</w:t>
      </w:r>
    </w:p>
    <w:p>
      <w:pPr>
        <w:pStyle w:val="2"/>
        <w:rPr>
          <w:rFonts w:hint="eastAsia" w:ascii="宋体" w:hAnsi="宋体" w:eastAsia="宋体" w:cs="宋体"/>
          <w:sz w:val="32"/>
          <w:szCs w:val="32"/>
          <w:highlight w:val="none"/>
        </w:rPr>
      </w:pPr>
      <w:r>
        <w:rPr>
          <w:rFonts w:hint="eastAsia" w:ascii="宋体" w:hAnsi="宋体" w:eastAsia="宋体" w:cs="宋体"/>
          <w:b/>
          <w:bCs/>
          <w:sz w:val="32"/>
          <w:szCs w:val="32"/>
          <w:highlight w:val="none"/>
        </w:rPr>
        <w:t>答：</w:t>
      </w:r>
      <w:r>
        <w:rPr>
          <w:rFonts w:hint="eastAsia" w:ascii="宋体" w:hAnsi="宋体" w:eastAsia="宋体" w:cs="宋体"/>
          <w:sz w:val="32"/>
          <w:szCs w:val="32"/>
          <w:highlight w:val="none"/>
        </w:rPr>
        <w:t>破产、关闭、解散和注销企业被鉴定为一级至四级的工伤职工以及因工死亡职工供养亲属享受的工伤保险待遇仍按原标准继续发放。所需资金，原企业已经参加工伤保险的，从工伤保险基金中支付；未参保的，预留至当地平均期望寿命(其中，因工死亡职工供养亲属未满18周岁的，预留至年满18周岁)，在资产清算时一次性拨付给经办机构。</w:t>
      </w:r>
    </w:p>
    <w:p>
      <w:pPr>
        <w:pStyle w:val="2"/>
        <w:rPr>
          <w:rFonts w:hint="eastAsia" w:ascii="宋体" w:hAnsi="宋体" w:eastAsia="宋体" w:cs="宋体"/>
          <w:sz w:val="32"/>
          <w:szCs w:val="32"/>
          <w:highlight w:val="none"/>
        </w:rPr>
      </w:pPr>
      <w:r>
        <w:rPr>
          <w:rFonts w:hint="eastAsia" w:ascii="宋体" w:hAnsi="宋体" w:eastAsia="宋体" w:cs="宋体"/>
          <w:sz w:val="32"/>
          <w:szCs w:val="32"/>
          <w:highlight w:val="none"/>
        </w:rPr>
        <w:t>被鉴定为五级至十级的，按规定支付其一次性工伤医疗补助金和一次性伤残就业补助金。所需资金，原企业已经参加工伤保险的，其一次性工伤医疗补助金从工伤保险基金中支付，其一次性伤残就业补助金在资产清算时一次性拨付；未参保的，其一次性工伤医疗补助金和一次性伤残就业补助金，在资产清算时一次性拨付。</w:t>
      </w:r>
    </w:p>
    <w:p>
      <w:pPr>
        <w:pStyle w:val="2"/>
        <w:rPr>
          <w:rFonts w:hint="eastAsia" w:ascii="宋体" w:hAnsi="宋体" w:eastAsia="宋体" w:cs="宋体"/>
          <w:sz w:val="32"/>
          <w:szCs w:val="32"/>
          <w:highlight w:val="none"/>
        </w:rPr>
      </w:pPr>
      <w:r>
        <w:rPr>
          <w:rFonts w:hint="eastAsia" w:ascii="宋体" w:hAnsi="宋体" w:eastAsia="宋体" w:cs="宋体"/>
          <w:sz w:val="32"/>
          <w:szCs w:val="32"/>
          <w:highlight w:val="none"/>
        </w:rPr>
        <w:t>对已破产、关闭、解散和注销企业的一级至四级工伤职工和因工死亡职工的供养亲属，各地可参照本条一、二款及解决老工伤问题的有关规定筹集资金，保障其工伤待遇。</w:t>
      </w:r>
    </w:p>
    <w:p>
      <w:pPr>
        <w:pStyle w:val="2"/>
        <w:rPr>
          <w:rFonts w:ascii="Times New Roman" w:hAnsi="Times New Roman" w:eastAsia="宋体" w:cs="Times New Roman"/>
          <w:sz w:val="32"/>
          <w:szCs w:val="32"/>
          <w:highlight w:val="none"/>
        </w:rPr>
      </w:pPr>
      <w:r>
        <w:rPr>
          <w:rFonts w:hint="eastAsia" w:ascii="宋体" w:hAnsi="宋体" w:eastAsia="宋体" w:cs="宋体"/>
          <w:b/>
          <w:bCs/>
          <w:sz w:val="32"/>
          <w:szCs w:val="32"/>
          <w:highlight w:val="none"/>
          <w:lang w:eastAsia="zh-CN"/>
        </w:rPr>
        <w:t>解析</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rPr>
        <w:t>鲁政发〔2011〕25号第三十条</w:t>
      </w:r>
      <w:r>
        <w:rPr>
          <w:rFonts w:hint="eastAsia" w:ascii="宋体" w:hAnsi="宋体" w:eastAsia="宋体" w:cs="宋体"/>
          <w:sz w:val="32"/>
          <w:szCs w:val="32"/>
          <w:highlight w:val="none"/>
          <w:lang w:eastAsia="zh-CN"/>
        </w:rPr>
        <w:t>。</w:t>
      </w:r>
    </w:p>
    <w:p>
      <w:pPr>
        <w:spacing w:before="156" w:beforeLines="50"/>
        <w:ind w:firstLine="420"/>
        <w:rPr>
          <w:rFonts w:hint="eastAsia" w:ascii="宋体" w:hAnsi="宋体" w:eastAsia="黑体" w:cs="宋体"/>
          <w:sz w:val="32"/>
          <w:szCs w:val="32"/>
          <w:highlight w:val="none"/>
          <w:lang w:eastAsia="zh-CN"/>
        </w:rPr>
      </w:pPr>
      <w:r>
        <w:rPr>
          <w:rFonts w:hint="eastAsia" w:ascii="黑体" w:hAnsi="黑体" w:eastAsia="黑体" w:cs="Times New Roman"/>
          <w:sz w:val="32"/>
          <w:szCs w:val="32"/>
          <w:highlight w:val="none"/>
        </w:rPr>
        <w:t>命题单位：</w:t>
      </w:r>
      <w:r>
        <w:rPr>
          <w:rFonts w:hint="eastAsia" w:ascii="黑体" w:hAnsi="黑体" w:eastAsia="黑体" w:cs="Times New Roman"/>
          <w:sz w:val="32"/>
          <w:szCs w:val="32"/>
          <w:highlight w:val="none"/>
          <w:lang w:eastAsia="zh-CN"/>
        </w:rPr>
        <w:t>工伤保险处</w:t>
      </w:r>
    </w:p>
    <w:p>
      <w:pPr>
        <w:widowControl/>
        <w:numPr>
          <w:ilvl w:val="0"/>
          <w:numId w:val="3"/>
        </w:numPr>
        <w:ind w:left="23" w:leftChars="0" w:firstLine="400" w:firstLineChars="0"/>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工伤职工被鉴定为七级至十级伤残的（工伤职工距离法定退休年龄五年以上，因事故伤害认定工伤，用人单位参保），劳动合同期满终止，其一次性工伤医疗补助金和一次性伤残就业补助金应如何计发？</w:t>
      </w:r>
    </w:p>
    <w:p>
      <w:pPr>
        <w:pStyle w:val="2"/>
        <w:rPr>
          <w:rFonts w:hint="eastAsia" w:ascii="宋体" w:hAnsi="宋体" w:eastAsia="宋体" w:cs="宋体"/>
          <w:sz w:val="32"/>
          <w:szCs w:val="32"/>
          <w:highlight w:val="none"/>
        </w:rPr>
      </w:pPr>
      <w:r>
        <w:rPr>
          <w:rFonts w:hint="eastAsia" w:ascii="宋体" w:hAnsi="宋体" w:eastAsia="宋体" w:cs="宋体"/>
          <w:b/>
          <w:bCs/>
          <w:sz w:val="32"/>
          <w:szCs w:val="32"/>
          <w:highlight w:val="none"/>
        </w:rPr>
        <w:t>答：</w:t>
      </w:r>
      <w:r>
        <w:rPr>
          <w:rFonts w:hint="eastAsia" w:ascii="宋体" w:hAnsi="宋体" w:eastAsia="宋体" w:cs="宋体"/>
          <w:sz w:val="32"/>
          <w:szCs w:val="32"/>
          <w:highlight w:val="none"/>
        </w:rPr>
        <w:t>工伤职工被鉴定为七级至十级伤残的，劳动合同期满终止，以其终止劳动合同时统筹地区上年度职工月平均工资为基数，由工伤保险基金支付本人一次性工伤医疗补助金、用人单位支付一次性伤残就业补助金。一次性工伤医疗补助金的具体标准为：七级13个月，八级10个月，九级7个月，十级4个月；一次性伤残就业补助金的具体标准为：七级20个月，八级16个月，九级12个月，十级8个月。</w:t>
      </w:r>
    </w:p>
    <w:p>
      <w:pPr>
        <w:pStyle w:val="2"/>
        <w:rPr>
          <w:rFonts w:hint="eastAsia" w:ascii="Times New Roman" w:hAnsi="Times New Roman" w:eastAsia="黑体" w:cs="Times New Roman"/>
          <w:bCs/>
          <w:sz w:val="32"/>
          <w:szCs w:val="32"/>
          <w:highlight w:val="none"/>
        </w:rPr>
      </w:pPr>
      <w:r>
        <w:rPr>
          <w:rFonts w:hint="eastAsia" w:ascii="宋体" w:hAnsi="宋体" w:eastAsia="宋体" w:cs="宋体"/>
          <w:b/>
          <w:bCs/>
          <w:sz w:val="32"/>
          <w:szCs w:val="32"/>
          <w:highlight w:val="none"/>
          <w:lang w:eastAsia="zh-CN"/>
        </w:rPr>
        <w:t>解析</w:t>
      </w:r>
      <w:r>
        <w:rPr>
          <w:rFonts w:hint="eastAsia" w:ascii="宋体" w:hAnsi="宋体" w:eastAsia="宋体" w:cs="宋体"/>
          <w:b/>
          <w:bCs/>
          <w:sz w:val="32"/>
          <w:szCs w:val="32"/>
          <w:highlight w:val="none"/>
        </w:rPr>
        <w:t>：</w:t>
      </w:r>
      <w:r>
        <w:rPr>
          <w:rFonts w:hint="eastAsia" w:ascii="宋体" w:hAnsi="宋体" w:eastAsia="宋体" w:cs="宋体"/>
          <w:sz w:val="32"/>
          <w:szCs w:val="32"/>
          <w:highlight w:val="none"/>
        </w:rPr>
        <w:t>鲁政发〔2011〕25号第二十五条</w:t>
      </w:r>
      <w:r>
        <w:rPr>
          <w:rFonts w:hint="eastAsia" w:ascii="宋体" w:hAnsi="宋体" w:eastAsia="宋体" w:cs="宋体"/>
          <w:sz w:val="32"/>
          <w:szCs w:val="32"/>
          <w:highlight w:val="none"/>
          <w:lang w:eastAsia="zh-CN"/>
        </w:rPr>
        <w:t>。</w:t>
      </w:r>
    </w:p>
    <w:p>
      <w:pPr>
        <w:spacing w:before="156" w:beforeLines="50"/>
        <w:ind w:firstLine="420"/>
        <w:rPr>
          <w:rFonts w:hint="eastAsia" w:ascii="宋体" w:hAnsi="宋体" w:eastAsia="黑体" w:cs="宋体"/>
          <w:sz w:val="32"/>
          <w:szCs w:val="32"/>
          <w:highlight w:val="none"/>
          <w:lang w:eastAsia="zh-CN"/>
        </w:rPr>
      </w:pPr>
      <w:r>
        <w:rPr>
          <w:rFonts w:hint="eastAsia" w:ascii="黑体" w:hAnsi="黑体" w:eastAsia="黑体" w:cs="Times New Roman"/>
          <w:sz w:val="32"/>
          <w:szCs w:val="32"/>
          <w:highlight w:val="none"/>
        </w:rPr>
        <w:t>命题单位：</w:t>
      </w:r>
      <w:r>
        <w:rPr>
          <w:rFonts w:hint="eastAsia" w:ascii="黑体" w:hAnsi="黑体" w:eastAsia="黑体" w:cs="Times New Roman"/>
          <w:sz w:val="32"/>
          <w:szCs w:val="32"/>
          <w:highlight w:val="none"/>
          <w:lang w:eastAsia="zh-CN"/>
        </w:rPr>
        <w:t>社保中心</w:t>
      </w:r>
    </w:p>
    <w:p>
      <w:pPr>
        <w:widowControl/>
        <w:numPr>
          <w:ilvl w:val="0"/>
          <w:numId w:val="3"/>
        </w:numPr>
        <w:ind w:left="23" w:leftChars="0" w:firstLine="400" w:firstLineChars="0"/>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什么是个人缴费基数中的“封顶”和“保底”？</w:t>
      </w:r>
    </w:p>
    <w:p>
      <w:pPr>
        <w:pStyle w:val="2"/>
        <w:rPr>
          <w:rFonts w:hint="eastAsia" w:ascii="宋体" w:hAnsi="宋体" w:eastAsia="宋体" w:cs="宋体"/>
          <w:sz w:val="32"/>
          <w:szCs w:val="32"/>
          <w:highlight w:val="none"/>
        </w:rPr>
      </w:pPr>
      <w:r>
        <w:rPr>
          <w:rFonts w:hint="eastAsia" w:ascii="宋体" w:hAnsi="宋体" w:eastAsia="宋体" w:cs="宋体"/>
          <w:b/>
          <w:bCs/>
          <w:sz w:val="32"/>
          <w:szCs w:val="32"/>
          <w:highlight w:val="none"/>
        </w:rPr>
        <w:t>答:</w:t>
      </w:r>
      <w:r>
        <w:rPr>
          <w:rFonts w:hint="eastAsia" w:ascii="宋体" w:hAnsi="宋体" w:eastAsia="宋体" w:cs="宋体"/>
          <w:sz w:val="32"/>
          <w:szCs w:val="32"/>
          <w:highlight w:val="none"/>
        </w:rPr>
        <w:t>职工本人月平均工资低于当地上年度在岗职工平均工资60%的，按当地上年度在岗职工月平均工资的60%计算缴费工资基数，即缴费下限（保底）；超过当地上年度在岗职工平均工资300%的，按当地上年度在岗职工月平均工资的300%计算缴费基数，即缴费上限（封顶）；超过部分不作为缴费工资基数，也不作为计发基本养老金的基数。</w:t>
      </w:r>
    </w:p>
    <w:p>
      <w:pPr>
        <w:pStyle w:val="2"/>
        <w:rPr>
          <w:rFonts w:ascii="Times New Roman" w:hAnsi="Times New Roman" w:eastAsia="宋体" w:cs="Times New Roman"/>
          <w:sz w:val="32"/>
          <w:szCs w:val="32"/>
          <w:highlight w:val="none"/>
        </w:rPr>
      </w:pPr>
      <w:r>
        <w:rPr>
          <w:rFonts w:hint="eastAsia" w:ascii="宋体" w:hAnsi="宋体" w:eastAsia="宋体" w:cs="宋体"/>
          <w:b/>
          <w:bCs/>
          <w:sz w:val="32"/>
          <w:szCs w:val="32"/>
          <w:highlight w:val="none"/>
        </w:rPr>
        <w:t>解析：</w:t>
      </w:r>
      <w:r>
        <w:rPr>
          <w:rFonts w:hint="eastAsia" w:ascii="宋体" w:hAnsi="宋体" w:eastAsia="宋体" w:cs="宋体"/>
          <w:sz w:val="32"/>
          <w:szCs w:val="32"/>
          <w:highlight w:val="none"/>
        </w:rPr>
        <w:t>《关于执行省政府鲁政发〔2006〕92号文件有关问题的通知》（鲁劳社〔2006〕51号）第十一条“企业职工个人以本人工资收入为基数缴纳基本养老保险费。职工工资收入按国家统计局关于工资总额的口径计算，其中低于上年度在岗职工平均工资60%的，按在岗职工平均工资60%为基数缴费；高于上年度在岗职工平均工资300%的部分不计入缴费工资基数。”</w:t>
      </w:r>
    </w:p>
    <w:p>
      <w:pPr>
        <w:spacing w:before="156" w:beforeLines="50"/>
        <w:ind w:firstLine="420"/>
        <w:rPr>
          <w:rFonts w:hint="eastAsia" w:ascii="宋体" w:hAnsi="宋体" w:eastAsia="黑体" w:cs="宋体"/>
          <w:sz w:val="32"/>
          <w:szCs w:val="32"/>
          <w:highlight w:val="none"/>
          <w:lang w:eastAsia="zh-CN"/>
        </w:rPr>
      </w:pPr>
      <w:r>
        <w:rPr>
          <w:rFonts w:hint="eastAsia" w:ascii="黑体" w:hAnsi="黑体" w:eastAsia="黑体" w:cs="Times New Roman"/>
          <w:sz w:val="32"/>
          <w:szCs w:val="32"/>
          <w:highlight w:val="none"/>
        </w:rPr>
        <w:t>命题单位：</w:t>
      </w:r>
      <w:r>
        <w:rPr>
          <w:rFonts w:hint="eastAsia" w:ascii="黑体" w:hAnsi="黑体" w:eastAsia="黑体" w:cs="Times New Roman"/>
          <w:sz w:val="32"/>
          <w:szCs w:val="32"/>
          <w:highlight w:val="none"/>
          <w:lang w:eastAsia="zh-CN"/>
        </w:rPr>
        <w:t>社保中心</w:t>
      </w:r>
    </w:p>
    <w:p>
      <w:pPr>
        <w:widowControl/>
        <w:numPr>
          <w:ilvl w:val="0"/>
          <w:numId w:val="3"/>
        </w:numPr>
        <w:ind w:left="23" w:leftChars="0" w:firstLine="400" w:firstLineChars="0"/>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简述机关事业单位“中人”过渡期内实行新老待遇计发办法对比时保低限高的具体办法。</w:t>
      </w:r>
    </w:p>
    <w:p>
      <w:pPr>
        <w:pStyle w:val="2"/>
        <w:rPr>
          <w:rFonts w:ascii="Times New Roman" w:hAnsi="Times New Roman" w:eastAsia="宋体" w:cs="Times New Roman"/>
          <w:sz w:val="32"/>
          <w:szCs w:val="32"/>
          <w:highlight w:val="none"/>
        </w:rPr>
      </w:pPr>
      <w:r>
        <w:rPr>
          <w:rFonts w:hint="eastAsia" w:ascii="宋体" w:hAnsi="宋体" w:eastAsia="宋体" w:cs="宋体"/>
          <w:b/>
          <w:bCs/>
          <w:sz w:val="32"/>
          <w:szCs w:val="32"/>
          <w:highlight w:val="none"/>
          <w:lang w:eastAsia="zh-CN"/>
        </w:rPr>
        <w:t>答</w:t>
      </w:r>
      <w:r>
        <w:rPr>
          <w:rFonts w:hint="eastAsia" w:ascii="宋体" w:hAnsi="宋体" w:eastAsia="宋体" w:cs="宋体"/>
          <w:sz w:val="32"/>
          <w:szCs w:val="32"/>
          <w:highlight w:val="none"/>
        </w:rPr>
        <w:t>：《山东省人力资源和社会保障厅山东省财政厅关于印发山东省机关事业单位工作人员养老保险制度改革实施办法的通知》（鲁人社发〔2015〕46号）规定，对于改革前参加工作、改革后退休的“中人”设立10年过渡期，过渡期内实行新老待遇计发办法对比，保低限高。即：新办法计发待遇（含职业年金待遇）低于老办法待遇标准的，按老办法待遇标准发放，保持待遇不降低；高于老办法标准的，超出的部分，第一年（2014年10月1日至2015年12月31日）退休的人员发放超出部分的10%，第二年（2016年1月1日至2016年12月31日）退休的人员发放20%，以此类推，到过渡期末年（2024年1月1日至2024年9月30日）退休的人员发放超出部分的100%。过渡期结束后退休的人员执行新办法。</w:t>
      </w:r>
    </w:p>
    <w:p>
      <w:pPr>
        <w:spacing w:before="156" w:beforeLines="50"/>
        <w:ind w:firstLine="420"/>
        <w:rPr>
          <w:rFonts w:hint="eastAsia" w:ascii="宋体" w:hAnsi="宋体" w:eastAsia="黑体" w:cs="宋体"/>
          <w:sz w:val="32"/>
          <w:szCs w:val="32"/>
          <w:highlight w:val="none"/>
          <w:lang w:eastAsia="zh-CN"/>
        </w:rPr>
      </w:pPr>
      <w:r>
        <w:rPr>
          <w:rFonts w:hint="eastAsia" w:ascii="黑体" w:hAnsi="黑体" w:eastAsia="黑体" w:cs="Times New Roman"/>
          <w:sz w:val="32"/>
          <w:szCs w:val="32"/>
          <w:highlight w:val="none"/>
        </w:rPr>
        <w:t>命题单位：</w:t>
      </w:r>
      <w:r>
        <w:rPr>
          <w:rFonts w:hint="eastAsia" w:ascii="黑体" w:hAnsi="黑体" w:eastAsia="黑体" w:cs="Times New Roman"/>
          <w:sz w:val="32"/>
          <w:szCs w:val="32"/>
          <w:highlight w:val="none"/>
          <w:lang w:eastAsia="zh-CN"/>
        </w:rPr>
        <w:t>社保中心</w:t>
      </w:r>
    </w:p>
    <w:p>
      <w:pPr>
        <w:widowControl/>
        <w:numPr>
          <w:ilvl w:val="0"/>
          <w:numId w:val="3"/>
        </w:numPr>
        <w:ind w:left="23" w:leftChars="0" w:firstLine="400" w:firstLineChars="0"/>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城乡居民基本养老保险和城镇职工基本养老保险制度如何衔接？</w:t>
      </w:r>
    </w:p>
    <w:p>
      <w:pPr>
        <w:pStyle w:val="2"/>
        <w:rPr>
          <w:rFonts w:hint="eastAsia" w:ascii="宋体" w:hAnsi="宋体" w:eastAsia="宋体" w:cs="宋体"/>
          <w:sz w:val="32"/>
          <w:szCs w:val="32"/>
          <w:highlight w:val="none"/>
        </w:rPr>
      </w:pPr>
      <w:r>
        <w:rPr>
          <w:rFonts w:hint="eastAsia" w:ascii="宋体" w:hAnsi="宋体" w:eastAsia="宋体" w:cs="宋体"/>
          <w:b/>
          <w:bCs/>
          <w:sz w:val="32"/>
          <w:szCs w:val="32"/>
          <w:highlight w:val="none"/>
        </w:rPr>
        <w:t>答：</w:t>
      </w:r>
      <w:r>
        <w:rPr>
          <w:rFonts w:hint="eastAsia" w:ascii="宋体" w:hAnsi="宋体" w:eastAsia="宋体" w:cs="宋体"/>
          <w:sz w:val="32"/>
          <w:szCs w:val="32"/>
          <w:highlight w:val="none"/>
        </w:rPr>
        <w:t>（一）参加城镇职工基本养老保险、城乡居民基本养老保险需要办理衔接手续的人员（以下简称参保人员），两种制度的参保地在同一设区市或县（市、区）的，在办理衔接手续时，亦应按《人力资源社会保障部财政部关于印发﹤城乡养老保险制度衔接暂行办法﹥的通知》（人社部发〔2014〕17号）（以下简称《暂行办法》）规定划转个人账户基金（含本金及利息）。</w:t>
      </w:r>
    </w:p>
    <w:p>
      <w:pPr>
        <w:pStyle w:val="2"/>
        <w:rPr>
          <w:rFonts w:hint="eastAsia" w:ascii="宋体" w:hAnsi="宋体" w:eastAsia="宋体" w:cs="宋体"/>
          <w:sz w:val="32"/>
          <w:szCs w:val="32"/>
          <w:highlight w:val="none"/>
        </w:rPr>
      </w:pPr>
      <w:r>
        <w:rPr>
          <w:rFonts w:hint="eastAsia" w:ascii="宋体" w:hAnsi="宋体" w:eastAsia="宋体" w:cs="宋体"/>
          <w:sz w:val="32"/>
          <w:szCs w:val="32"/>
          <w:highlight w:val="none"/>
        </w:rPr>
        <w:t>（二）参保人员达到城镇职工基本养老保险法定退休年龄后，城镇职工基本养老保险缴费年限不足15年的，可以按规定申请延长缴费至满15年，再按《暂行办法》规定办理。</w:t>
      </w:r>
    </w:p>
    <w:p>
      <w:pPr>
        <w:pStyle w:val="2"/>
        <w:rPr>
          <w:rFonts w:hint="eastAsia" w:ascii="宋体" w:hAnsi="宋体" w:eastAsia="宋体" w:cs="宋体"/>
          <w:sz w:val="32"/>
          <w:szCs w:val="32"/>
          <w:highlight w:val="none"/>
        </w:rPr>
      </w:pPr>
      <w:r>
        <w:rPr>
          <w:rFonts w:hint="eastAsia" w:ascii="宋体" w:hAnsi="宋体" w:eastAsia="宋体" w:cs="宋体"/>
          <w:sz w:val="32"/>
          <w:szCs w:val="32"/>
          <w:highlight w:val="none"/>
        </w:rPr>
        <w:t>（三）参保人员不得同时领取城镇职工基本养老保险和城乡居民基本养老保险待遇。对于已经同时领取的，应当按照《暂行办法》第八条规定处理，具体程序和办法由设区市研究制定。</w:t>
      </w:r>
    </w:p>
    <w:p>
      <w:pPr>
        <w:pStyle w:val="2"/>
        <w:rPr>
          <w:rFonts w:hint="eastAsia" w:ascii="宋体" w:hAnsi="宋体" w:eastAsia="宋体" w:cs="宋体"/>
          <w:sz w:val="32"/>
          <w:szCs w:val="32"/>
          <w:highlight w:val="none"/>
        </w:rPr>
      </w:pPr>
      <w:r>
        <w:rPr>
          <w:rFonts w:hint="eastAsia" w:ascii="宋体" w:hAnsi="宋体" w:eastAsia="宋体" w:cs="宋体"/>
          <w:sz w:val="32"/>
          <w:szCs w:val="32"/>
          <w:highlight w:val="none"/>
        </w:rPr>
        <w:t>（四）《暂行办法》施行前，已经超过国家规定的领取养老保险待遇年龄，但尚未领取养老保险待遇的人员，可以按照《暂行办法》规定办理。</w:t>
      </w:r>
    </w:p>
    <w:p>
      <w:pPr>
        <w:pStyle w:val="2"/>
        <w:rPr>
          <w:rFonts w:hint="eastAsia" w:ascii="宋体" w:hAnsi="宋体" w:eastAsia="宋体" w:cs="宋体"/>
          <w:sz w:val="32"/>
          <w:szCs w:val="32"/>
          <w:highlight w:val="none"/>
        </w:rPr>
      </w:pPr>
      <w:r>
        <w:rPr>
          <w:rFonts w:hint="eastAsia" w:ascii="宋体" w:hAnsi="宋体" w:eastAsia="宋体" w:cs="宋体"/>
          <w:b/>
          <w:bCs/>
          <w:sz w:val="32"/>
          <w:szCs w:val="32"/>
          <w:highlight w:val="none"/>
          <w:lang w:eastAsia="zh-CN"/>
        </w:rPr>
        <w:t>解析</w:t>
      </w:r>
      <w:r>
        <w:rPr>
          <w:rFonts w:hint="eastAsia" w:ascii="宋体" w:hAnsi="宋体" w:eastAsia="宋体" w:cs="宋体"/>
          <w:sz w:val="32"/>
          <w:szCs w:val="32"/>
          <w:highlight w:val="none"/>
        </w:rPr>
        <w:t>：《山东省人社厅财政厅关于城乡养老保险制度衔接有关事项的通知（鲁人社发〔2014〕36号）“（一）参加城镇职工基本养老保险、城乡居民基本养老保险需要办理衔接手续的人员（以下简称参保人员），两种制度的参保地在同一设区市或县（市、区）的，在办理衔接手续时，亦应按《人力资源社会保障部财政部关于印发﹤城乡养老保险制度衔接暂行办法﹥的通知》（人社部发〔2014〕17号）（以下简称《暂行办法》）规定划转个人账户基金（含本金及利息）。</w:t>
      </w:r>
    </w:p>
    <w:p>
      <w:pPr>
        <w:pStyle w:val="2"/>
        <w:rPr>
          <w:rFonts w:hint="eastAsia" w:ascii="宋体" w:hAnsi="宋体" w:eastAsia="宋体" w:cs="宋体"/>
          <w:sz w:val="32"/>
          <w:szCs w:val="32"/>
          <w:highlight w:val="none"/>
        </w:rPr>
      </w:pPr>
      <w:r>
        <w:rPr>
          <w:rFonts w:hint="eastAsia" w:ascii="宋体" w:hAnsi="宋体" w:eastAsia="宋体" w:cs="宋体"/>
          <w:sz w:val="32"/>
          <w:szCs w:val="32"/>
          <w:highlight w:val="none"/>
        </w:rPr>
        <w:t>（二）参保人员达到城镇职工基本养老保险法定退休年龄后，城镇职工基本养老保险缴费年限不足15年的，可以按规定申请延长缴费至满15年，再按《暂行办法》规定办理。</w:t>
      </w:r>
    </w:p>
    <w:p>
      <w:pPr>
        <w:pStyle w:val="2"/>
        <w:rPr>
          <w:rFonts w:hint="eastAsia" w:ascii="宋体" w:hAnsi="宋体" w:eastAsia="宋体" w:cs="宋体"/>
          <w:sz w:val="32"/>
          <w:szCs w:val="32"/>
          <w:highlight w:val="none"/>
        </w:rPr>
      </w:pPr>
      <w:r>
        <w:rPr>
          <w:rFonts w:hint="eastAsia" w:ascii="宋体" w:hAnsi="宋体" w:eastAsia="宋体" w:cs="宋体"/>
          <w:sz w:val="32"/>
          <w:szCs w:val="32"/>
          <w:highlight w:val="none"/>
        </w:rPr>
        <w:t>（三）参保人员不得同时领取城镇职工基本养老保险和城乡居民基本养老保险待遇。对于已经同时领取的，应当按照《暂行办法》第八条规定处理，具体程序和办法由设区市研究制定。</w:t>
      </w:r>
    </w:p>
    <w:p>
      <w:pPr>
        <w:pStyle w:val="2"/>
        <w:rPr>
          <w:rFonts w:ascii="Times New Roman" w:hAnsi="Times New Roman" w:eastAsia="宋体" w:cs="Times New Roman"/>
          <w:sz w:val="32"/>
          <w:szCs w:val="32"/>
          <w:highlight w:val="none"/>
        </w:rPr>
      </w:pPr>
      <w:r>
        <w:rPr>
          <w:rFonts w:hint="eastAsia" w:ascii="宋体" w:hAnsi="宋体" w:eastAsia="宋体" w:cs="宋体"/>
          <w:sz w:val="32"/>
          <w:szCs w:val="32"/>
          <w:highlight w:val="none"/>
        </w:rPr>
        <w:t>（四）《暂行办法》施行前，已经超过国家规定的领取养老保险待遇年龄，但尚未领取养老保险待遇的人员，可以按照《暂行办法》规定办理。”</w:t>
      </w:r>
    </w:p>
    <w:p>
      <w:pPr>
        <w:spacing w:before="156" w:beforeLines="50"/>
        <w:ind w:firstLine="420"/>
        <w:rPr>
          <w:rFonts w:hint="eastAsia" w:ascii="宋体" w:hAnsi="宋体" w:eastAsia="黑体" w:cs="宋体"/>
          <w:sz w:val="32"/>
          <w:szCs w:val="32"/>
          <w:highlight w:val="none"/>
          <w:lang w:eastAsia="zh-CN"/>
        </w:rPr>
      </w:pPr>
      <w:r>
        <w:rPr>
          <w:rFonts w:hint="eastAsia" w:ascii="黑体" w:hAnsi="黑体" w:eastAsia="黑体" w:cs="Times New Roman"/>
          <w:sz w:val="32"/>
          <w:szCs w:val="32"/>
          <w:highlight w:val="none"/>
        </w:rPr>
        <w:t>命题单位：</w:t>
      </w:r>
      <w:r>
        <w:rPr>
          <w:rFonts w:hint="eastAsia" w:ascii="黑体" w:hAnsi="黑体" w:eastAsia="黑体" w:cs="Times New Roman"/>
          <w:sz w:val="32"/>
          <w:szCs w:val="32"/>
          <w:highlight w:val="none"/>
          <w:lang w:eastAsia="zh-CN"/>
        </w:rPr>
        <w:t>社保中心</w:t>
      </w:r>
    </w:p>
    <w:p>
      <w:pPr>
        <w:widowControl/>
        <w:numPr>
          <w:ilvl w:val="0"/>
          <w:numId w:val="3"/>
        </w:numPr>
        <w:ind w:left="23" w:leftChars="0" w:firstLine="400" w:firstLineChars="0"/>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鲁人社办发〔2015〕78号规定机关单位（含参公管理的单位）退休人员纳入统筹的待遇项目有哪些？</w:t>
      </w:r>
    </w:p>
    <w:p>
      <w:pPr>
        <w:pStyle w:val="2"/>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 </w:t>
      </w:r>
      <w:r>
        <w:rPr>
          <w:rFonts w:hint="eastAsia" w:ascii="宋体" w:hAnsi="宋体" w:eastAsia="宋体" w:cs="宋体"/>
          <w:b/>
          <w:bCs/>
          <w:sz w:val="32"/>
          <w:szCs w:val="32"/>
          <w:highlight w:val="none"/>
        </w:rPr>
        <w:t>答:</w:t>
      </w:r>
      <w:r>
        <w:rPr>
          <w:rFonts w:hint="eastAsia" w:ascii="宋体" w:hAnsi="宋体" w:eastAsia="宋体" w:cs="宋体"/>
          <w:sz w:val="32"/>
          <w:szCs w:val="32"/>
          <w:highlight w:val="none"/>
        </w:rPr>
        <w:t>基本退休费（含增发退休费）、警衔津贴、退休人员补贴。</w:t>
      </w:r>
    </w:p>
    <w:p>
      <w:pPr>
        <w:pStyle w:val="2"/>
        <w:rPr>
          <w:rFonts w:hint="eastAsia" w:ascii="宋体" w:hAnsi="宋体" w:eastAsia="宋体" w:cs="宋体"/>
          <w:sz w:val="32"/>
          <w:szCs w:val="32"/>
          <w:highlight w:val="none"/>
          <w:lang w:eastAsia="zh-CN"/>
        </w:rPr>
      </w:pPr>
      <w:r>
        <w:rPr>
          <w:rFonts w:hint="eastAsia" w:ascii="宋体" w:hAnsi="宋体" w:eastAsia="宋体" w:cs="宋体"/>
          <w:b/>
          <w:bCs/>
          <w:sz w:val="32"/>
          <w:szCs w:val="32"/>
          <w:highlight w:val="none"/>
        </w:rPr>
        <w:t xml:space="preserve"> 解析：</w:t>
      </w:r>
      <w:r>
        <w:rPr>
          <w:rFonts w:hint="eastAsia" w:ascii="宋体" w:hAnsi="宋体" w:eastAsia="宋体" w:cs="宋体"/>
          <w:sz w:val="32"/>
          <w:szCs w:val="32"/>
          <w:highlight w:val="none"/>
        </w:rPr>
        <w:t>《山东省人力资源和社会保障厅 山东省财政厅 关于确定机关事业单位养老保险缴费工资及待遇统筹项目的通知》（鲁人社办发〔2015〕78）附件一机关事业单位养老保险缴费及统筹项目清单）</w:t>
      </w:r>
      <w:r>
        <w:rPr>
          <w:rFonts w:hint="eastAsia" w:ascii="宋体" w:hAnsi="宋体" w:eastAsia="宋体" w:cs="宋体"/>
          <w:sz w:val="32"/>
          <w:szCs w:val="32"/>
          <w:highlight w:val="none"/>
          <w:lang w:eastAsia="zh-CN"/>
        </w:rPr>
        <w:t>。</w:t>
      </w:r>
    </w:p>
    <w:p>
      <w:pPr>
        <w:pStyle w:val="2"/>
        <w:rPr>
          <w:rFonts w:hint="eastAsia" w:ascii="宋体" w:hAnsi="宋体" w:eastAsia="宋体" w:cs="宋体"/>
          <w:sz w:val="32"/>
          <w:szCs w:val="32"/>
          <w:highlight w:val="none"/>
        </w:rPr>
      </w:pPr>
    </w:p>
    <w:p>
      <w:pPr>
        <w:pStyle w:val="2"/>
        <w:rPr>
          <w:rFonts w:hint="eastAsia" w:ascii="宋体" w:hAnsi="宋体" w:eastAsia="宋体" w:cs="宋体"/>
          <w:sz w:val="32"/>
          <w:szCs w:val="32"/>
          <w:highlight w:val="none"/>
        </w:rPr>
      </w:pPr>
    </w:p>
    <w:p>
      <w:pPr>
        <w:pStyle w:val="2"/>
        <w:rPr>
          <w:rFonts w:hint="eastAsia" w:ascii="Times New Roman" w:hAnsi="Times New Roman" w:eastAsia="宋体" w:cs="Times New Roman"/>
          <w:sz w:val="32"/>
          <w:szCs w:val="32"/>
          <w:highlight w:val="none"/>
        </w:rPr>
      </w:pPr>
    </w:p>
    <w:p>
      <w:pPr>
        <w:widowControl/>
        <w:ind w:firstLine="420"/>
        <w:jc w:val="left"/>
        <w:rPr>
          <w:rFonts w:ascii="Times New Roman" w:hAnsi="Times New Roman" w:eastAsia="宋体" w:cs="Times New Roman"/>
          <w:sz w:val="32"/>
          <w:szCs w:val="32"/>
          <w:highlight w:val="none"/>
        </w:rPr>
      </w:pPr>
      <w:r>
        <w:rPr>
          <w:rFonts w:ascii="Times New Roman" w:hAnsi="Times New Roman" w:eastAsia="宋体" w:cs="Times New Roman"/>
          <w:sz w:val="32"/>
          <w:szCs w:val="32"/>
          <w:highlight w:val="none"/>
        </w:rPr>
        <w:br w:type="page"/>
      </w:r>
    </w:p>
    <w:p>
      <w:pPr>
        <w:pStyle w:val="4"/>
        <w:spacing w:before="156" w:after="312"/>
        <w:ind w:firstLine="600"/>
        <w:rPr>
          <w:sz w:val="32"/>
          <w:szCs w:val="32"/>
          <w:highlight w:val="none"/>
        </w:rPr>
      </w:pPr>
      <w:r>
        <w:rPr>
          <w:rFonts w:hint="eastAsia"/>
          <w:sz w:val="32"/>
          <w:szCs w:val="32"/>
          <w:highlight w:val="none"/>
        </w:rPr>
        <w:t>（</w:t>
      </w:r>
      <w:r>
        <w:rPr>
          <w:rFonts w:hint="eastAsia"/>
          <w:sz w:val="32"/>
          <w:szCs w:val="32"/>
          <w:highlight w:val="none"/>
          <w:lang w:val="en-US" w:eastAsia="zh-CN"/>
        </w:rPr>
        <w:t>四</w:t>
      </w:r>
      <w:r>
        <w:rPr>
          <w:rFonts w:hint="eastAsia"/>
          <w:sz w:val="32"/>
          <w:szCs w:val="32"/>
          <w:highlight w:val="none"/>
        </w:rPr>
        <w:t>）劳动关系</w:t>
      </w:r>
    </w:p>
    <w:p>
      <w:pPr>
        <w:pStyle w:val="2"/>
        <w:rPr>
          <w:rFonts w:hint="eastAsia" w:ascii="宋体" w:hAnsi="宋体" w:eastAsia="黑体" w:cs="宋体"/>
          <w:sz w:val="32"/>
          <w:szCs w:val="32"/>
          <w:highlight w:val="none"/>
          <w:lang w:eastAsia="zh-CN"/>
        </w:rPr>
      </w:pPr>
      <w:r>
        <w:rPr>
          <w:rFonts w:hint="eastAsia" w:ascii="Times New Roman" w:hAnsi="Times New Roman" w:eastAsia="黑体" w:cs="Times New Roman"/>
          <w:bCs/>
          <w:sz w:val="32"/>
          <w:szCs w:val="32"/>
          <w:highlight w:val="none"/>
        </w:rPr>
        <w:t>命题单位：</w:t>
      </w:r>
      <w:r>
        <w:rPr>
          <w:rFonts w:hint="eastAsia" w:ascii="Times New Roman" w:hAnsi="Times New Roman" w:eastAsia="黑体" w:cs="Times New Roman"/>
          <w:bCs/>
          <w:sz w:val="32"/>
          <w:szCs w:val="32"/>
          <w:highlight w:val="none"/>
          <w:lang w:eastAsia="zh-CN"/>
        </w:rPr>
        <w:t>劳动关系处</w:t>
      </w:r>
    </w:p>
    <w:p>
      <w:pPr>
        <w:widowControl/>
        <w:numPr>
          <w:ilvl w:val="0"/>
          <w:numId w:val="3"/>
        </w:numPr>
        <w:ind w:left="23" w:leftChars="0" w:firstLine="400" w:firstLineChars="0"/>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什么是非全日制用工？</w:t>
      </w:r>
    </w:p>
    <w:p>
      <w:pPr>
        <w:pStyle w:val="2"/>
        <w:rPr>
          <w:rFonts w:ascii="Times New Roman" w:hAnsi="Times New Roman" w:eastAsia="宋体" w:cs="Times New Roman"/>
          <w:sz w:val="32"/>
          <w:szCs w:val="32"/>
          <w:highlight w:val="none"/>
        </w:rPr>
      </w:pPr>
      <w:r>
        <w:rPr>
          <w:rFonts w:hint="eastAsia" w:ascii="宋体" w:hAnsi="宋体" w:eastAsia="宋体" w:cs="宋体"/>
          <w:b/>
          <w:bCs/>
          <w:sz w:val="32"/>
          <w:szCs w:val="32"/>
          <w:highlight w:val="none"/>
        </w:rPr>
        <w:t>答：</w:t>
      </w:r>
      <w:r>
        <w:rPr>
          <w:rFonts w:hint="eastAsia" w:ascii="宋体" w:hAnsi="宋体" w:eastAsia="宋体" w:cs="宋体"/>
          <w:sz w:val="32"/>
          <w:szCs w:val="32"/>
          <w:highlight w:val="none"/>
        </w:rPr>
        <w:t>非全日制用工，是指以小时计酬为主，劳动者在同一用人单位一般平均每日工作时间不超过四小时，每周工作时间累计不超过二十四小时的用工形式。</w:t>
      </w:r>
    </w:p>
    <w:p>
      <w:pPr>
        <w:spacing w:before="156" w:beforeLines="50"/>
        <w:ind w:firstLine="420"/>
        <w:rPr>
          <w:rFonts w:hint="eastAsia" w:ascii="宋体" w:hAnsi="宋体" w:eastAsia="黑体" w:cs="宋体"/>
          <w:sz w:val="32"/>
          <w:szCs w:val="32"/>
          <w:highlight w:val="none"/>
          <w:lang w:eastAsia="zh-CN"/>
        </w:rPr>
      </w:pPr>
      <w:r>
        <w:rPr>
          <w:rFonts w:hint="eastAsia" w:ascii="黑体" w:hAnsi="黑体" w:eastAsia="黑体" w:cs="Times New Roman"/>
          <w:sz w:val="32"/>
          <w:szCs w:val="32"/>
          <w:highlight w:val="none"/>
        </w:rPr>
        <w:t>命题单位：</w:t>
      </w:r>
      <w:r>
        <w:rPr>
          <w:rFonts w:hint="eastAsia" w:ascii="黑体" w:hAnsi="黑体" w:eastAsia="黑体" w:cs="Times New Roman"/>
          <w:sz w:val="32"/>
          <w:szCs w:val="32"/>
          <w:highlight w:val="none"/>
          <w:lang w:eastAsia="zh-CN"/>
        </w:rPr>
        <w:t>劳动关系处</w:t>
      </w:r>
    </w:p>
    <w:p>
      <w:pPr>
        <w:widowControl/>
        <w:numPr>
          <w:ilvl w:val="0"/>
          <w:numId w:val="3"/>
        </w:numPr>
        <w:ind w:left="23" w:leftChars="0" w:firstLine="400" w:firstLineChars="0"/>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什么是最低工资标准？</w:t>
      </w:r>
    </w:p>
    <w:p>
      <w:pPr>
        <w:pStyle w:val="2"/>
        <w:rPr>
          <w:rFonts w:ascii="Times New Roman" w:hAnsi="Times New Roman" w:eastAsia="宋体" w:cs="Times New Roman"/>
          <w:sz w:val="32"/>
          <w:szCs w:val="32"/>
          <w:highlight w:val="none"/>
        </w:rPr>
      </w:pPr>
      <w:r>
        <w:rPr>
          <w:rFonts w:hint="eastAsia" w:ascii="宋体" w:hAnsi="宋体" w:eastAsia="宋体" w:cs="宋体"/>
          <w:b/>
          <w:bCs/>
          <w:sz w:val="32"/>
          <w:szCs w:val="32"/>
          <w:highlight w:val="none"/>
        </w:rPr>
        <w:t>答：</w:t>
      </w:r>
      <w:r>
        <w:rPr>
          <w:rFonts w:hint="eastAsia" w:ascii="宋体" w:hAnsi="宋体" w:eastAsia="宋体" w:cs="宋体"/>
          <w:sz w:val="32"/>
          <w:szCs w:val="32"/>
          <w:highlight w:val="none"/>
        </w:rPr>
        <w:t>最低工资标准是指劳动者在法定工作时间或依法签订的劳动合同约定的工作时间内提供了正常劳动的前提下，用人单位依法应支付的最低劳动报酬。</w:t>
      </w:r>
    </w:p>
    <w:p>
      <w:pPr>
        <w:spacing w:before="156" w:beforeLines="50"/>
        <w:ind w:firstLine="420"/>
        <w:rPr>
          <w:rFonts w:hint="eastAsia" w:ascii="宋体" w:hAnsi="宋体" w:eastAsia="黑体" w:cs="宋体"/>
          <w:sz w:val="32"/>
          <w:szCs w:val="32"/>
          <w:highlight w:val="none"/>
          <w:lang w:eastAsia="zh-CN"/>
        </w:rPr>
      </w:pPr>
      <w:r>
        <w:rPr>
          <w:rFonts w:hint="eastAsia" w:ascii="黑体" w:hAnsi="黑体" w:eastAsia="黑体" w:cs="Times New Roman"/>
          <w:sz w:val="32"/>
          <w:szCs w:val="32"/>
          <w:highlight w:val="none"/>
        </w:rPr>
        <w:t>命题单位：</w:t>
      </w:r>
      <w:r>
        <w:rPr>
          <w:rFonts w:hint="eastAsia" w:ascii="黑体" w:hAnsi="黑体" w:eastAsia="黑体" w:cs="Times New Roman"/>
          <w:sz w:val="32"/>
          <w:szCs w:val="32"/>
          <w:highlight w:val="none"/>
          <w:lang w:eastAsia="zh-CN"/>
        </w:rPr>
        <w:t>劳动关系处</w:t>
      </w:r>
    </w:p>
    <w:p>
      <w:pPr>
        <w:widowControl/>
        <w:numPr>
          <w:ilvl w:val="0"/>
          <w:numId w:val="3"/>
        </w:numPr>
        <w:ind w:left="23" w:leftChars="0" w:firstLine="400" w:firstLineChars="0"/>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什么是竞业限制？</w:t>
      </w:r>
    </w:p>
    <w:p>
      <w:pPr>
        <w:pStyle w:val="2"/>
        <w:rPr>
          <w:rFonts w:ascii="Times New Roman" w:hAnsi="Times New Roman" w:eastAsia="宋体" w:cs="Times New Roman"/>
          <w:sz w:val="32"/>
          <w:szCs w:val="32"/>
          <w:highlight w:val="none"/>
        </w:rPr>
      </w:pPr>
      <w:r>
        <w:rPr>
          <w:rFonts w:hint="eastAsia" w:ascii="宋体" w:hAnsi="宋体" w:eastAsia="宋体" w:cs="宋体"/>
          <w:b/>
          <w:bCs/>
          <w:sz w:val="32"/>
          <w:szCs w:val="32"/>
          <w:highlight w:val="none"/>
          <w:lang w:eastAsia="zh-CN"/>
        </w:rPr>
        <w:t>答：</w:t>
      </w:r>
      <w:r>
        <w:rPr>
          <w:rFonts w:hint="eastAsia" w:ascii="宋体" w:hAnsi="宋体" w:eastAsia="宋体" w:cs="宋体"/>
          <w:sz w:val="32"/>
          <w:szCs w:val="32"/>
          <w:highlight w:val="none"/>
        </w:rPr>
        <w:t>根据《劳动合同法》第二十三条、第二十四条的规定，竞业限制是指用人单位在劳动合同或者保密协议中，与掌握本单位商业秘密和与知识产权相关的保密事项的劳动者约定，在劳动合同解除或者终止后的一定期限内，不得到与本单位生产或者经营同类产品、从事同类业务的有竞争关系的其他用人单位任职，也不得自己开业生产或者经营同类产品、从事同类业务。劳动者违反竞业限制约定的，应当按照约定向用人单位支付违约金。</w:t>
      </w:r>
      <w:bookmarkStart w:id="0" w:name="_Toc260316143"/>
      <w:bookmarkStart w:id="1" w:name="_Toc261016105"/>
    </w:p>
    <w:p>
      <w:pPr>
        <w:spacing w:before="156" w:beforeLines="50"/>
        <w:ind w:firstLine="420"/>
        <w:rPr>
          <w:rFonts w:hint="eastAsia" w:ascii="宋体" w:hAnsi="宋体" w:eastAsia="黑体" w:cs="宋体"/>
          <w:sz w:val="32"/>
          <w:szCs w:val="32"/>
          <w:highlight w:val="none"/>
          <w:lang w:eastAsia="zh-CN"/>
        </w:rPr>
      </w:pPr>
      <w:r>
        <w:rPr>
          <w:rFonts w:hint="eastAsia" w:ascii="黑体" w:hAnsi="黑体" w:eastAsia="黑体" w:cs="Times New Roman"/>
          <w:sz w:val="32"/>
          <w:szCs w:val="32"/>
          <w:highlight w:val="none"/>
        </w:rPr>
        <w:t>命题单位：</w:t>
      </w:r>
      <w:r>
        <w:rPr>
          <w:rFonts w:hint="eastAsia" w:ascii="黑体" w:hAnsi="黑体" w:eastAsia="黑体" w:cs="Times New Roman"/>
          <w:sz w:val="32"/>
          <w:szCs w:val="32"/>
          <w:highlight w:val="none"/>
          <w:lang w:eastAsia="zh-CN"/>
        </w:rPr>
        <w:t>劳动关系处</w:t>
      </w:r>
    </w:p>
    <w:p>
      <w:pPr>
        <w:widowControl/>
        <w:numPr>
          <w:ilvl w:val="0"/>
          <w:numId w:val="3"/>
        </w:numPr>
        <w:ind w:left="23" w:leftChars="0" w:firstLine="400" w:firstLineChars="0"/>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什么是工资集体协商？工资集体协商一般应包括哪些内容？</w:t>
      </w:r>
      <w:bookmarkEnd w:id="0"/>
      <w:bookmarkEnd w:id="1"/>
    </w:p>
    <w:p>
      <w:pPr>
        <w:ind w:firstLine="643" w:firstLineChars="200"/>
        <w:rPr>
          <w:rFonts w:hint="eastAsia" w:ascii="宋体" w:hAnsi="宋体" w:eastAsia="宋体" w:cs="宋体"/>
          <w:sz w:val="32"/>
          <w:szCs w:val="32"/>
          <w:highlight w:val="none"/>
          <w:lang w:val="en-US" w:eastAsia="zh-CN"/>
        </w:rPr>
      </w:pPr>
      <w:r>
        <w:rPr>
          <w:rFonts w:hint="eastAsia" w:ascii="宋体" w:hAnsi="宋体" w:eastAsia="宋体" w:cs="宋体"/>
          <w:b/>
          <w:bCs/>
          <w:sz w:val="32"/>
          <w:szCs w:val="32"/>
          <w:highlight w:val="none"/>
          <w:lang w:val="en-US" w:eastAsia="zh-CN"/>
        </w:rPr>
        <w:t>答：</w:t>
      </w:r>
      <w:r>
        <w:rPr>
          <w:rFonts w:hint="eastAsia" w:ascii="宋体" w:hAnsi="宋体" w:eastAsia="宋体" w:cs="宋体"/>
          <w:sz w:val="32"/>
          <w:szCs w:val="32"/>
          <w:highlight w:val="none"/>
          <w:lang w:val="en-US" w:eastAsia="zh-CN"/>
        </w:rPr>
        <w:t>《工资集体协商试行办法》（中华人民共和国劳动和社会保障部令第9号）规定，工资集体协商是指职工代表与企业代表依法就企业内部工资分配制度、工资分配形式、工资收入水平等事项进行平等协商，在协商一致的基础上签订工资协议的行为。</w:t>
      </w:r>
    </w:p>
    <w:p>
      <w:pPr>
        <w:pStyle w:val="2"/>
        <w:rPr>
          <w:rFonts w:ascii="Times New Roman" w:hAnsi="Times New Roman" w:eastAsia="宋体" w:cs="Times New Roman"/>
          <w:sz w:val="32"/>
          <w:szCs w:val="32"/>
          <w:highlight w:val="none"/>
        </w:rPr>
      </w:pPr>
      <w:r>
        <w:rPr>
          <w:rFonts w:hint="eastAsia" w:ascii="宋体" w:hAnsi="宋体" w:eastAsia="宋体" w:cs="宋体"/>
          <w:sz w:val="32"/>
          <w:szCs w:val="32"/>
          <w:highlight w:val="none"/>
          <w:lang w:val="en-US" w:eastAsia="zh-CN"/>
        </w:rPr>
        <w:t>工资集体协商一般包括以下内容：工资协议的期限；工资分配制度、工资标准和工资分配形式；职工年度平均工资水平及其调整幅度；奖金、津贴、补贴等分配办法；工资支付办法；变更、解除工资协议的程序；工资协议的终止条件；工资协议的违约责任；双方认为应当协商约定的其他事项。</w:t>
      </w:r>
    </w:p>
    <w:p>
      <w:pPr>
        <w:spacing w:before="156" w:beforeLines="50"/>
        <w:ind w:firstLine="420"/>
        <w:rPr>
          <w:rFonts w:hint="eastAsia" w:ascii="宋体" w:hAnsi="宋体" w:eastAsia="黑体" w:cs="宋体"/>
          <w:sz w:val="32"/>
          <w:szCs w:val="32"/>
          <w:highlight w:val="none"/>
          <w:lang w:eastAsia="zh-CN"/>
        </w:rPr>
      </w:pPr>
      <w:r>
        <w:rPr>
          <w:rFonts w:hint="eastAsia" w:ascii="黑体" w:hAnsi="黑体" w:eastAsia="黑体" w:cs="Times New Roman"/>
          <w:sz w:val="32"/>
          <w:szCs w:val="32"/>
          <w:highlight w:val="none"/>
        </w:rPr>
        <w:t>命题单位：</w:t>
      </w:r>
      <w:r>
        <w:rPr>
          <w:rFonts w:hint="eastAsia" w:ascii="黑体" w:hAnsi="黑体" w:eastAsia="黑体" w:cs="Times New Roman"/>
          <w:sz w:val="32"/>
          <w:szCs w:val="32"/>
          <w:highlight w:val="none"/>
          <w:lang w:eastAsia="zh-CN"/>
        </w:rPr>
        <w:t>劳动关系处</w:t>
      </w:r>
    </w:p>
    <w:p>
      <w:pPr>
        <w:widowControl/>
        <w:numPr>
          <w:ilvl w:val="0"/>
          <w:numId w:val="3"/>
        </w:numPr>
        <w:ind w:left="23" w:leftChars="0" w:firstLine="400" w:firstLineChars="0"/>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哪些情况下用人单位必须与劳动者订立无固定期限的劳动合同？</w:t>
      </w:r>
    </w:p>
    <w:p>
      <w:pPr>
        <w:ind w:firstLine="643" w:firstLineChars="200"/>
        <w:rPr>
          <w:rFonts w:hint="eastAsia" w:ascii="宋体" w:hAnsi="宋体" w:eastAsia="宋体" w:cs="宋体"/>
          <w:sz w:val="32"/>
          <w:szCs w:val="32"/>
          <w:highlight w:val="none"/>
          <w:lang w:val="en-US" w:eastAsia="zh-CN"/>
        </w:rPr>
      </w:pPr>
      <w:r>
        <w:rPr>
          <w:rFonts w:hint="eastAsia" w:ascii="宋体" w:hAnsi="宋体" w:eastAsia="宋体" w:cs="宋体"/>
          <w:b/>
          <w:bCs/>
          <w:sz w:val="32"/>
          <w:szCs w:val="32"/>
          <w:highlight w:val="none"/>
          <w:lang w:val="en-US" w:eastAsia="zh-CN"/>
        </w:rPr>
        <w:t>答：</w:t>
      </w:r>
      <w:r>
        <w:rPr>
          <w:rFonts w:hint="eastAsia" w:ascii="宋体" w:hAnsi="宋体" w:eastAsia="宋体" w:cs="宋体"/>
          <w:sz w:val="32"/>
          <w:szCs w:val="32"/>
          <w:highlight w:val="none"/>
          <w:lang w:val="en-US" w:eastAsia="zh-CN"/>
        </w:rPr>
        <w:t>（1）劳动者在该用人单位连续工作满10年的；（2）用人单位初次实行劳动合同制度或者国有企业改制重新订立劳动合同时，劳动者在该用人单位连续工作满10年且距法定退休年龄不足10年的；（3）连续订立两次固定期限劳动合同，且劳动者没有《劳动合同法》第三十九条和第四十条第一项、第二项规定的情形，续订劳动合同的。</w:t>
      </w:r>
    </w:p>
    <w:p>
      <w:pPr>
        <w:pStyle w:val="2"/>
        <w:rPr>
          <w:rFonts w:hint="eastAsia" w:ascii="Times New Roman" w:hAnsi="Times New Roman" w:eastAsia="黑体" w:cs="Times New Roman"/>
          <w:bCs/>
          <w:sz w:val="32"/>
          <w:szCs w:val="32"/>
          <w:highlight w:val="none"/>
        </w:rPr>
      </w:pPr>
    </w:p>
    <w:p>
      <w:pPr>
        <w:pStyle w:val="2"/>
        <w:rPr>
          <w:rFonts w:hint="eastAsia" w:ascii="宋体" w:hAnsi="宋体" w:eastAsia="黑体" w:cs="宋体"/>
          <w:sz w:val="32"/>
          <w:szCs w:val="32"/>
          <w:highlight w:val="none"/>
          <w:lang w:eastAsia="zh-CN"/>
        </w:rPr>
      </w:pPr>
      <w:r>
        <w:rPr>
          <w:rFonts w:hint="eastAsia" w:ascii="Times New Roman" w:hAnsi="Times New Roman" w:eastAsia="黑体" w:cs="Times New Roman"/>
          <w:bCs/>
          <w:sz w:val="32"/>
          <w:szCs w:val="32"/>
          <w:highlight w:val="none"/>
        </w:rPr>
        <w:t>命题单位：</w:t>
      </w:r>
      <w:r>
        <w:rPr>
          <w:rFonts w:hint="eastAsia" w:ascii="Times New Roman" w:hAnsi="Times New Roman" w:eastAsia="黑体" w:cs="Times New Roman"/>
          <w:bCs/>
          <w:sz w:val="32"/>
          <w:szCs w:val="32"/>
          <w:highlight w:val="none"/>
          <w:lang w:eastAsia="zh-CN"/>
        </w:rPr>
        <w:t>调解仲裁管理处、省劳动人事争议仲裁院</w:t>
      </w:r>
    </w:p>
    <w:p>
      <w:pPr>
        <w:widowControl/>
        <w:numPr>
          <w:ilvl w:val="0"/>
          <w:numId w:val="3"/>
        </w:numPr>
        <w:ind w:left="0" w:leftChars="0" w:firstLine="400" w:firstLineChars="0"/>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简述</w:t>
      </w:r>
      <w:r>
        <w:rPr>
          <w:rFonts w:hint="eastAsia" w:ascii="黑体" w:hAnsi="黑体" w:eastAsia="黑体" w:cs="黑体"/>
          <w:sz w:val="32"/>
          <w:szCs w:val="32"/>
          <w:highlight w:val="none"/>
        </w:rPr>
        <w:t>《中华人民共和国劳动争议调解仲裁法》</w:t>
      </w:r>
      <w:r>
        <w:rPr>
          <w:rFonts w:hint="eastAsia" w:ascii="黑体" w:hAnsi="黑体" w:eastAsia="黑体" w:cs="黑体"/>
          <w:sz w:val="32"/>
          <w:szCs w:val="32"/>
          <w:highlight w:val="none"/>
          <w:lang w:eastAsia="zh-CN"/>
        </w:rPr>
        <w:t>规定的</w:t>
      </w:r>
      <w:r>
        <w:rPr>
          <w:rFonts w:hint="eastAsia" w:ascii="黑体" w:hAnsi="黑体" w:eastAsia="黑体" w:cs="黑体"/>
          <w:sz w:val="32"/>
          <w:szCs w:val="32"/>
          <w:highlight w:val="none"/>
          <w:lang w:val="en-US" w:eastAsia="zh-CN"/>
        </w:rPr>
        <w:t>适用仲裁“终局裁决”的劳动争议类型。</w:t>
      </w:r>
    </w:p>
    <w:p>
      <w:pPr>
        <w:pStyle w:val="2"/>
        <w:rPr>
          <w:rFonts w:hint="eastAsia" w:ascii="宋体" w:hAnsi="宋体" w:eastAsia="宋体" w:cs="宋体"/>
          <w:sz w:val="32"/>
          <w:szCs w:val="32"/>
          <w:highlight w:val="none"/>
        </w:rPr>
      </w:pPr>
      <w:r>
        <w:rPr>
          <w:rFonts w:hint="eastAsia" w:ascii="宋体" w:hAnsi="宋体" w:eastAsia="宋体" w:cs="宋体"/>
          <w:b/>
          <w:bCs/>
          <w:sz w:val="32"/>
          <w:szCs w:val="32"/>
          <w:highlight w:val="none"/>
        </w:rPr>
        <w:t>答</w:t>
      </w:r>
      <w:r>
        <w:rPr>
          <w:rFonts w:hint="eastAsia" w:ascii="宋体" w:hAnsi="宋体" w:eastAsia="宋体" w:cs="宋体"/>
          <w:sz w:val="32"/>
          <w:szCs w:val="32"/>
          <w:highlight w:val="none"/>
        </w:rPr>
        <w:t>：下列劳动争议，除《中华人民共和国劳动争议调解仲裁法》另有规定的外，仲裁裁决为终局裁决，裁决书自作出之日起发生法律效力：1、追索劳动报酬、工伤医疗费、经济补偿或者赔偿金，不超过当地月最低工资标准十二个月金额的争议；2、因执行国家的劳动标准在工作时间、休息休假、社会保险等方面发生的争议。</w:t>
      </w:r>
    </w:p>
    <w:p>
      <w:pPr>
        <w:spacing w:before="156" w:beforeLines="50"/>
        <w:ind w:firstLine="420"/>
        <w:rPr>
          <w:rFonts w:hint="eastAsia" w:ascii="宋体" w:hAnsi="宋体" w:eastAsia="黑体" w:cs="宋体"/>
          <w:sz w:val="32"/>
          <w:szCs w:val="32"/>
          <w:highlight w:val="none"/>
          <w:lang w:eastAsia="zh-CN"/>
        </w:rPr>
      </w:pPr>
      <w:r>
        <w:rPr>
          <w:rFonts w:hint="eastAsia" w:ascii="黑体" w:hAnsi="黑体" w:eastAsia="黑体" w:cs="Times New Roman"/>
          <w:sz w:val="32"/>
          <w:szCs w:val="32"/>
          <w:highlight w:val="none"/>
        </w:rPr>
        <w:t>命题单位：</w:t>
      </w:r>
      <w:r>
        <w:rPr>
          <w:rFonts w:hint="eastAsia" w:ascii="Times New Roman" w:hAnsi="Times New Roman" w:eastAsia="黑体" w:cs="Times New Roman"/>
          <w:bCs/>
          <w:sz w:val="32"/>
          <w:szCs w:val="32"/>
          <w:highlight w:val="none"/>
          <w:lang w:eastAsia="zh-CN"/>
        </w:rPr>
        <w:t>调解仲裁管理处、省劳动人事争议仲裁院</w:t>
      </w:r>
    </w:p>
    <w:p>
      <w:pPr>
        <w:widowControl/>
        <w:numPr>
          <w:ilvl w:val="0"/>
          <w:numId w:val="3"/>
        </w:numPr>
        <w:ind w:left="0" w:leftChars="0" w:firstLine="400" w:firstLineChars="0"/>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简述</w:t>
      </w:r>
      <w:r>
        <w:rPr>
          <w:rFonts w:hint="eastAsia" w:ascii="黑体" w:hAnsi="黑体" w:eastAsia="黑体" w:cs="黑体"/>
          <w:sz w:val="32"/>
          <w:szCs w:val="32"/>
          <w:highlight w:val="none"/>
        </w:rPr>
        <w:t>《劳动人事争议仲裁办案规则》</w:t>
      </w:r>
      <w:r>
        <w:rPr>
          <w:rFonts w:hint="eastAsia" w:ascii="黑体" w:hAnsi="黑体" w:eastAsia="黑体" w:cs="黑体"/>
          <w:sz w:val="32"/>
          <w:szCs w:val="32"/>
          <w:highlight w:val="none"/>
          <w:lang w:eastAsia="zh-CN"/>
        </w:rPr>
        <w:t>规定的仲裁委员会受理</w:t>
      </w:r>
      <w:r>
        <w:rPr>
          <w:rFonts w:hint="eastAsia" w:ascii="黑体" w:hAnsi="黑体" w:eastAsia="黑体" w:cs="黑体"/>
          <w:sz w:val="32"/>
          <w:szCs w:val="32"/>
          <w:highlight w:val="none"/>
          <w:lang w:val="en-US" w:eastAsia="zh-CN"/>
        </w:rPr>
        <w:t>仲裁申请的条件。</w:t>
      </w:r>
    </w:p>
    <w:p>
      <w:pPr>
        <w:pStyle w:val="2"/>
        <w:rPr>
          <w:rFonts w:ascii="Times New Roman" w:hAnsi="Times New Roman" w:eastAsia="宋体" w:cs="Times New Roman"/>
          <w:sz w:val="32"/>
          <w:szCs w:val="32"/>
          <w:highlight w:val="none"/>
        </w:rPr>
      </w:pPr>
      <w:r>
        <w:rPr>
          <w:rFonts w:hint="eastAsia" w:ascii="宋体" w:hAnsi="宋体" w:eastAsia="宋体" w:cs="宋体"/>
          <w:b/>
          <w:bCs/>
          <w:sz w:val="32"/>
          <w:szCs w:val="32"/>
          <w:highlight w:val="none"/>
        </w:rPr>
        <w:t>答：</w:t>
      </w:r>
      <w:r>
        <w:rPr>
          <w:rFonts w:hint="eastAsia" w:ascii="宋体" w:hAnsi="宋体" w:eastAsia="宋体" w:cs="宋体"/>
          <w:sz w:val="32"/>
          <w:szCs w:val="32"/>
          <w:highlight w:val="none"/>
        </w:rPr>
        <w:t>1、属于《劳动人事争议仲裁办案规则》第二条规定的争议范围；2、有明确的仲裁请求和事实理由；3、申请人是与本案有直接利害关系的自然人、法人或者其他组织，有明确的被申请人；</w:t>
      </w:r>
      <w:r>
        <w:rPr>
          <w:rFonts w:hint="eastAsia" w:ascii="宋体" w:hAnsi="宋体" w:eastAsia="宋体" w:cs="宋体"/>
          <w:sz w:val="32"/>
          <w:szCs w:val="32"/>
          <w:highlight w:val="none"/>
          <w:lang w:val="en-US" w:eastAsia="zh-CN"/>
        </w:rPr>
        <w:t>4、</w:t>
      </w:r>
      <w:r>
        <w:rPr>
          <w:rFonts w:hint="eastAsia" w:ascii="宋体" w:hAnsi="宋体" w:eastAsia="宋体" w:cs="宋体"/>
          <w:sz w:val="32"/>
          <w:szCs w:val="32"/>
          <w:highlight w:val="none"/>
        </w:rPr>
        <w:t>属于本仲裁委员会管辖</w:t>
      </w:r>
      <w:r>
        <w:rPr>
          <w:rFonts w:hint="eastAsia" w:ascii="宋体" w:hAnsi="宋体" w:eastAsia="宋体" w:cs="宋体"/>
          <w:sz w:val="32"/>
          <w:szCs w:val="32"/>
          <w:highlight w:val="none"/>
          <w:lang w:eastAsia="zh-CN"/>
        </w:rPr>
        <w:t>范围。</w:t>
      </w:r>
    </w:p>
    <w:p>
      <w:pPr>
        <w:spacing w:before="156" w:beforeLines="50"/>
        <w:ind w:firstLine="420"/>
        <w:rPr>
          <w:rFonts w:hint="eastAsia" w:ascii="宋体" w:hAnsi="宋体" w:eastAsia="黑体" w:cs="宋体"/>
          <w:sz w:val="32"/>
          <w:szCs w:val="32"/>
          <w:highlight w:val="none"/>
          <w:lang w:eastAsia="zh-CN"/>
        </w:rPr>
      </w:pPr>
      <w:r>
        <w:rPr>
          <w:rFonts w:hint="eastAsia" w:ascii="黑体" w:hAnsi="黑体" w:eastAsia="黑体" w:cs="Times New Roman"/>
          <w:sz w:val="32"/>
          <w:szCs w:val="32"/>
          <w:highlight w:val="none"/>
        </w:rPr>
        <w:t>命题单位：</w:t>
      </w:r>
      <w:r>
        <w:rPr>
          <w:rFonts w:hint="eastAsia" w:ascii="Times New Roman" w:hAnsi="Times New Roman" w:eastAsia="黑体" w:cs="Times New Roman"/>
          <w:bCs/>
          <w:sz w:val="32"/>
          <w:szCs w:val="32"/>
          <w:highlight w:val="none"/>
          <w:lang w:eastAsia="zh-CN"/>
        </w:rPr>
        <w:t>调解仲裁管理处、省劳动人事争议仲裁院</w:t>
      </w:r>
    </w:p>
    <w:p>
      <w:pPr>
        <w:widowControl/>
        <w:numPr>
          <w:ilvl w:val="0"/>
          <w:numId w:val="3"/>
        </w:numPr>
        <w:ind w:left="0" w:leftChars="0" w:firstLine="400" w:firstLineChars="0"/>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根据</w:t>
      </w:r>
      <w:r>
        <w:rPr>
          <w:rFonts w:hint="eastAsia" w:ascii="黑体" w:hAnsi="黑体" w:eastAsia="黑体" w:cs="黑体"/>
          <w:sz w:val="32"/>
          <w:szCs w:val="32"/>
          <w:highlight w:val="none"/>
        </w:rPr>
        <w:t>《劳动人事争议仲裁办案规则》</w:t>
      </w:r>
      <w:r>
        <w:rPr>
          <w:rFonts w:hint="eastAsia" w:ascii="黑体" w:hAnsi="黑体" w:eastAsia="黑体" w:cs="黑体"/>
          <w:sz w:val="32"/>
          <w:szCs w:val="32"/>
          <w:highlight w:val="none"/>
          <w:lang w:eastAsia="zh-CN"/>
        </w:rPr>
        <w:t>，</w:t>
      </w:r>
      <w:r>
        <w:rPr>
          <w:rFonts w:hint="eastAsia" w:ascii="黑体" w:hAnsi="黑体" w:eastAsia="黑体" w:cs="黑体"/>
          <w:sz w:val="32"/>
          <w:szCs w:val="32"/>
          <w:highlight w:val="none"/>
          <w:lang w:val="en-US" w:eastAsia="zh-CN"/>
        </w:rPr>
        <w:t>仲裁申请书应包含哪些内容？</w:t>
      </w:r>
    </w:p>
    <w:p>
      <w:pPr>
        <w:pStyle w:val="2"/>
        <w:rPr>
          <w:rFonts w:ascii="Times New Roman" w:hAnsi="Times New Roman" w:eastAsia="宋体" w:cs="Times New Roman"/>
          <w:sz w:val="32"/>
          <w:szCs w:val="32"/>
          <w:highlight w:val="none"/>
        </w:rPr>
      </w:pPr>
      <w:r>
        <w:rPr>
          <w:rFonts w:hint="eastAsia" w:ascii="宋体" w:hAnsi="宋体" w:eastAsia="宋体" w:cs="宋体"/>
          <w:b/>
          <w:bCs/>
          <w:sz w:val="32"/>
          <w:szCs w:val="32"/>
          <w:highlight w:val="none"/>
        </w:rPr>
        <w:t>答：</w:t>
      </w:r>
      <w:r>
        <w:rPr>
          <w:rFonts w:hint="eastAsia" w:ascii="宋体" w:hAnsi="宋体" w:eastAsia="宋体" w:cs="宋体"/>
          <w:color w:val="000000"/>
          <w:kern w:val="2"/>
          <w:sz w:val="32"/>
          <w:szCs w:val="32"/>
          <w:highlight w:val="none"/>
          <w:lang w:val="en-US" w:eastAsia="zh-CN" w:bidi="ar"/>
        </w:rPr>
        <w:t>仲裁申请书应当载明下列事项：（一）劳动者的姓名、性别、出生日期、身份证件号码、住所、通讯地址和联系电话，用人单位的名称、住所、通讯地址、联系电话和法定代表人或者主要负责人的姓名、职务；（二）仲裁请求和所根据的事实、理由；（三）证据和证据来源，证人姓名和住所。</w:t>
      </w:r>
    </w:p>
    <w:p>
      <w:pPr>
        <w:spacing w:before="156" w:beforeLines="50"/>
        <w:ind w:firstLine="420"/>
        <w:rPr>
          <w:rFonts w:hint="eastAsia" w:ascii="宋体" w:hAnsi="宋体" w:eastAsia="黑体" w:cs="宋体"/>
          <w:sz w:val="32"/>
          <w:szCs w:val="32"/>
          <w:highlight w:val="none"/>
          <w:lang w:eastAsia="zh-CN"/>
        </w:rPr>
      </w:pPr>
      <w:r>
        <w:rPr>
          <w:rFonts w:hint="eastAsia" w:ascii="黑体" w:hAnsi="黑体" w:eastAsia="黑体" w:cs="Times New Roman"/>
          <w:sz w:val="32"/>
          <w:szCs w:val="32"/>
          <w:highlight w:val="none"/>
        </w:rPr>
        <w:t>命题单位：</w:t>
      </w:r>
      <w:r>
        <w:rPr>
          <w:rFonts w:hint="eastAsia" w:ascii="Times New Roman" w:hAnsi="Times New Roman" w:eastAsia="黑体" w:cs="Times New Roman"/>
          <w:bCs/>
          <w:sz w:val="32"/>
          <w:szCs w:val="32"/>
          <w:highlight w:val="none"/>
          <w:lang w:eastAsia="zh-CN"/>
        </w:rPr>
        <w:t>调解仲裁管理处、省劳动人事争议仲裁院</w:t>
      </w:r>
    </w:p>
    <w:p>
      <w:pPr>
        <w:widowControl/>
        <w:numPr>
          <w:ilvl w:val="0"/>
          <w:numId w:val="3"/>
        </w:numPr>
        <w:ind w:left="0" w:leftChars="0" w:firstLine="400" w:firstLineChars="0"/>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根据《劳动人事争议仲裁办案规则》，哪些情形下，劳动争议仲裁时效中断？</w:t>
      </w:r>
    </w:p>
    <w:p>
      <w:pPr>
        <w:pStyle w:val="2"/>
        <w:rPr>
          <w:rFonts w:ascii="Times New Roman" w:hAnsi="Times New Roman" w:eastAsia="宋体" w:cs="Times New Roman"/>
          <w:sz w:val="32"/>
          <w:szCs w:val="32"/>
          <w:highlight w:val="none"/>
        </w:rPr>
      </w:pPr>
      <w:r>
        <w:rPr>
          <w:rFonts w:hint="eastAsia" w:ascii="宋体" w:hAnsi="宋体" w:eastAsia="宋体" w:cs="宋体"/>
          <w:b/>
          <w:bCs/>
          <w:sz w:val="32"/>
          <w:szCs w:val="32"/>
          <w:highlight w:val="none"/>
        </w:rPr>
        <w:t>答</w:t>
      </w:r>
      <w:r>
        <w:rPr>
          <w:rFonts w:hint="eastAsia" w:ascii="宋体" w:hAnsi="宋体" w:eastAsia="宋体" w:cs="宋体"/>
          <w:sz w:val="32"/>
          <w:szCs w:val="32"/>
          <w:highlight w:val="none"/>
        </w:rPr>
        <w:t>：在申请仲裁的时效期间内，有下列情形之一的，仲裁时效中断：1、一方当事人通过协商、申请调解等方式向对方当事人主张权利的；2、一方当事人通过向有关部门投诉，向仲裁委员会申请仲裁，向人民法院起诉或者申请支付令等方式请求权利救济的；3、对方当事人同意履行义务的。</w:t>
      </w:r>
    </w:p>
    <w:p>
      <w:pPr>
        <w:spacing w:before="156" w:beforeLines="50"/>
        <w:ind w:firstLine="420"/>
        <w:rPr>
          <w:rFonts w:hint="eastAsia" w:ascii="宋体" w:hAnsi="宋体" w:eastAsia="黑体" w:cs="宋体"/>
          <w:sz w:val="32"/>
          <w:szCs w:val="32"/>
          <w:highlight w:val="none"/>
          <w:lang w:eastAsia="zh-CN"/>
        </w:rPr>
      </w:pPr>
      <w:r>
        <w:rPr>
          <w:rFonts w:hint="eastAsia" w:ascii="黑体" w:hAnsi="黑体" w:eastAsia="黑体" w:cs="Times New Roman"/>
          <w:sz w:val="32"/>
          <w:szCs w:val="32"/>
          <w:highlight w:val="none"/>
        </w:rPr>
        <w:t>命题单位：</w:t>
      </w:r>
      <w:r>
        <w:rPr>
          <w:rFonts w:hint="eastAsia" w:ascii="Times New Roman" w:hAnsi="Times New Roman" w:eastAsia="黑体" w:cs="Times New Roman"/>
          <w:bCs/>
          <w:sz w:val="32"/>
          <w:szCs w:val="32"/>
          <w:highlight w:val="none"/>
          <w:lang w:eastAsia="zh-CN"/>
        </w:rPr>
        <w:t>调解仲裁管理处、省劳动人事争议仲裁院</w:t>
      </w:r>
    </w:p>
    <w:p>
      <w:pPr>
        <w:widowControl/>
        <w:numPr>
          <w:ilvl w:val="0"/>
          <w:numId w:val="3"/>
        </w:numPr>
        <w:ind w:left="0" w:leftChars="0" w:firstLine="400" w:firstLineChars="0"/>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简述</w:t>
      </w:r>
      <w:r>
        <w:rPr>
          <w:rFonts w:hint="eastAsia" w:ascii="黑体" w:hAnsi="黑体" w:eastAsia="黑体" w:cs="黑体"/>
          <w:color w:val="000000"/>
          <w:sz w:val="32"/>
          <w:szCs w:val="32"/>
          <w:highlight w:val="none"/>
          <w:lang w:eastAsia="zh-CN"/>
        </w:rPr>
        <w:t>《中华人民共和国劳动争议调解仲裁法》规定的</w:t>
      </w:r>
      <w:r>
        <w:rPr>
          <w:rFonts w:hint="eastAsia" w:ascii="黑体" w:hAnsi="黑体" w:eastAsia="黑体" w:cs="黑体"/>
          <w:sz w:val="32"/>
          <w:szCs w:val="32"/>
          <w:highlight w:val="none"/>
          <w:lang w:val="en-US" w:eastAsia="zh-CN"/>
        </w:rPr>
        <w:t>仲裁员任职条件。</w:t>
      </w:r>
    </w:p>
    <w:p>
      <w:pPr>
        <w:pStyle w:val="2"/>
        <w:rPr>
          <w:rFonts w:ascii="Times New Roman" w:hAnsi="Times New Roman" w:eastAsia="宋体" w:cs="Times New Roman"/>
          <w:sz w:val="32"/>
          <w:szCs w:val="32"/>
          <w:highlight w:val="none"/>
        </w:rPr>
      </w:pPr>
      <w:r>
        <w:rPr>
          <w:rFonts w:hint="eastAsia" w:ascii="宋体" w:hAnsi="宋体" w:eastAsia="宋体" w:cs="宋体"/>
          <w:b/>
          <w:bCs/>
          <w:sz w:val="32"/>
          <w:szCs w:val="32"/>
          <w:highlight w:val="none"/>
        </w:rPr>
        <w:t>答：</w:t>
      </w:r>
      <w:r>
        <w:rPr>
          <w:rFonts w:hint="eastAsia" w:ascii="宋体" w:hAnsi="宋体" w:eastAsia="宋体" w:cs="宋体"/>
          <w:sz w:val="32"/>
          <w:szCs w:val="32"/>
          <w:highlight w:val="none"/>
        </w:rPr>
        <w:t>仲裁员应当公道正派并符合下列条件之一：1、曾任审判员的；2、从事法律研究、教学工作并具有中级以上职称的；3、具有法律知识、从事人力资源管理或者工会等专业工作满五年的；4、律师执业满三年的。</w:t>
      </w:r>
    </w:p>
    <w:p>
      <w:pPr>
        <w:spacing w:before="156" w:beforeLines="50"/>
        <w:ind w:firstLine="420"/>
        <w:rPr>
          <w:rFonts w:hint="eastAsia" w:ascii="宋体" w:hAnsi="宋体" w:eastAsia="黑体" w:cs="宋体"/>
          <w:sz w:val="32"/>
          <w:szCs w:val="32"/>
          <w:highlight w:val="none"/>
          <w:lang w:eastAsia="zh-CN"/>
        </w:rPr>
      </w:pPr>
      <w:r>
        <w:rPr>
          <w:rFonts w:hint="eastAsia" w:ascii="黑体" w:hAnsi="黑体" w:eastAsia="黑体" w:cs="Times New Roman"/>
          <w:sz w:val="32"/>
          <w:szCs w:val="32"/>
          <w:highlight w:val="none"/>
        </w:rPr>
        <w:t>命题单位：</w:t>
      </w:r>
      <w:r>
        <w:rPr>
          <w:rFonts w:hint="eastAsia" w:ascii="Times New Roman" w:hAnsi="Times New Roman" w:eastAsia="黑体" w:cs="Times New Roman"/>
          <w:bCs/>
          <w:sz w:val="32"/>
          <w:szCs w:val="32"/>
          <w:highlight w:val="none"/>
          <w:lang w:eastAsia="zh-CN"/>
        </w:rPr>
        <w:t>调解仲裁管理处、省劳动人事争议仲裁院</w:t>
      </w:r>
    </w:p>
    <w:p>
      <w:pPr>
        <w:widowControl/>
        <w:numPr>
          <w:ilvl w:val="0"/>
          <w:numId w:val="3"/>
        </w:numPr>
        <w:ind w:left="0" w:leftChars="0" w:firstLine="400" w:firstLineChars="0"/>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根据</w:t>
      </w:r>
      <w:r>
        <w:rPr>
          <w:rFonts w:hint="eastAsia" w:ascii="黑体" w:hAnsi="黑体" w:eastAsia="黑体" w:cs="黑体"/>
          <w:color w:val="000000"/>
          <w:sz w:val="32"/>
          <w:szCs w:val="32"/>
          <w:highlight w:val="none"/>
          <w:lang w:eastAsia="zh-CN"/>
        </w:rPr>
        <w:t>《中华人民共和国劳动争议调解仲裁法》，</w:t>
      </w:r>
      <w:r>
        <w:rPr>
          <w:rFonts w:hint="eastAsia" w:ascii="黑体" w:hAnsi="黑体" w:eastAsia="黑体" w:cs="黑体"/>
          <w:sz w:val="32"/>
          <w:szCs w:val="32"/>
          <w:highlight w:val="none"/>
          <w:lang w:val="en-US" w:eastAsia="zh-CN"/>
        </w:rPr>
        <w:t>发生劳动争议，当事人可以去哪些调解组织申请调解？</w:t>
      </w:r>
    </w:p>
    <w:p>
      <w:pPr>
        <w:pStyle w:val="2"/>
        <w:rPr>
          <w:rFonts w:ascii="Times New Roman" w:hAnsi="Times New Roman" w:eastAsia="宋体" w:cs="Times New Roman"/>
          <w:sz w:val="32"/>
          <w:szCs w:val="32"/>
          <w:highlight w:val="none"/>
        </w:rPr>
      </w:pPr>
      <w:r>
        <w:rPr>
          <w:rFonts w:hint="eastAsia" w:ascii="宋体" w:hAnsi="宋体" w:eastAsia="宋体" w:cs="宋体"/>
          <w:b/>
          <w:bCs/>
          <w:sz w:val="32"/>
          <w:szCs w:val="32"/>
          <w:highlight w:val="none"/>
        </w:rPr>
        <w:t>答：</w:t>
      </w:r>
      <w:r>
        <w:rPr>
          <w:rFonts w:hint="eastAsia" w:ascii="宋体" w:hAnsi="宋体" w:eastAsia="宋体" w:cs="宋体"/>
          <w:sz w:val="32"/>
          <w:szCs w:val="32"/>
          <w:highlight w:val="none"/>
        </w:rPr>
        <w:t>发生劳动争议，当事人可以到下列调解组织申请调解：1、企业劳动争议调解委员会；2、依法设立的基层人民调解组织；3、在乡镇、街道设立的具有劳动争议调解职能的组织。</w:t>
      </w:r>
    </w:p>
    <w:p>
      <w:pPr>
        <w:spacing w:before="156" w:beforeLines="50"/>
        <w:ind w:firstLine="420"/>
        <w:rPr>
          <w:rFonts w:hint="eastAsia" w:ascii="宋体" w:hAnsi="宋体" w:eastAsia="黑体" w:cs="宋体"/>
          <w:sz w:val="32"/>
          <w:szCs w:val="32"/>
          <w:highlight w:val="none"/>
          <w:lang w:eastAsia="zh-CN"/>
        </w:rPr>
      </w:pPr>
      <w:r>
        <w:rPr>
          <w:rFonts w:hint="eastAsia" w:ascii="黑体" w:hAnsi="黑体" w:eastAsia="黑体" w:cs="Times New Roman"/>
          <w:sz w:val="32"/>
          <w:szCs w:val="32"/>
          <w:highlight w:val="none"/>
        </w:rPr>
        <w:t>命题单位：</w:t>
      </w:r>
      <w:r>
        <w:rPr>
          <w:rFonts w:hint="eastAsia" w:ascii="Times New Roman" w:hAnsi="Times New Roman" w:eastAsia="黑体" w:cs="Times New Roman"/>
          <w:bCs/>
          <w:sz w:val="32"/>
          <w:szCs w:val="32"/>
          <w:highlight w:val="none"/>
          <w:lang w:eastAsia="zh-CN"/>
        </w:rPr>
        <w:t>调解仲裁管理处、省劳动人事争议仲裁院</w:t>
      </w:r>
    </w:p>
    <w:p>
      <w:pPr>
        <w:widowControl/>
        <w:numPr>
          <w:ilvl w:val="0"/>
          <w:numId w:val="3"/>
        </w:numPr>
        <w:ind w:left="0" w:leftChars="0" w:firstLine="400" w:firstLineChars="0"/>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根据《劳动人事争议仲裁办案规则》，哪些争议案件，仲裁委员会不得简易处理。</w:t>
      </w:r>
    </w:p>
    <w:p>
      <w:pPr>
        <w:pStyle w:val="2"/>
        <w:rPr>
          <w:rFonts w:ascii="Times New Roman" w:hAnsi="Times New Roman" w:eastAsia="宋体" w:cs="Times New Roman"/>
          <w:sz w:val="32"/>
          <w:szCs w:val="32"/>
          <w:highlight w:val="none"/>
        </w:rPr>
      </w:pPr>
      <w:r>
        <w:rPr>
          <w:rFonts w:hint="eastAsia" w:ascii="宋体" w:hAnsi="宋体" w:eastAsia="宋体" w:cs="宋体"/>
          <w:b/>
          <w:bCs/>
          <w:sz w:val="32"/>
          <w:szCs w:val="32"/>
          <w:highlight w:val="none"/>
        </w:rPr>
        <w:t>答：</w:t>
      </w:r>
      <w:r>
        <w:rPr>
          <w:rFonts w:hint="eastAsia" w:ascii="宋体" w:hAnsi="宋体" w:eastAsia="宋体" w:cs="宋体"/>
          <w:sz w:val="32"/>
          <w:szCs w:val="32"/>
          <w:highlight w:val="none"/>
        </w:rPr>
        <w:t>争议案件有下列情形之一的，不得简易处理：1、涉及国家利益、社会公共利益的；2、有重大社会影响的；3、被申请人下落不明的；4、仲裁委员会认为不宜简易处理的。</w:t>
      </w:r>
    </w:p>
    <w:p>
      <w:pPr>
        <w:spacing w:before="156" w:beforeLines="50"/>
        <w:ind w:firstLine="420"/>
        <w:rPr>
          <w:rFonts w:hint="eastAsia" w:ascii="黑体" w:hAnsi="黑体" w:eastAsia="黑体" w:cs="Times New Roman"/>
          <w:sz w:val="32"/>
          <w:szCs w:val="32"/>
          <w:highlight w:val="none"/>
        </w:rPr>
      </w:pPr>
    </w:p>
    <w:p>
      <w:pPr>
        <w:spacing w:before="156" w:beforeLines="50"/>
        <w:ind w:firstLine="420"/>
        <w:rPr>
          <w:rFonts w:hint="eastAsia" w:ascii="宋体" w:hAnsi="宋体" w:eastAsia="黑体" w:cs="宋体"/>
          <w:sz w:val="32"/>
          <w:szCs w:val="32"/>
          <w:highlight w:val="none"/>
          <w:lang w:eastAsia="zh-CN"/>
        </w:rPr>
      </w:pPr>
      <w:r>
        <w:rPr>
          <w:rFonts w:hint="eastAsia" w:ascii="黑体" w:hAnsi="黑体" w:eastAsia="黑体" w:cs="Times New Roman"/>
          <w:sz w:val="32"/>
          <w:szCs w:val="32"/>
          <w:highlight w:val="none"/>
        </w:rPr>
        <w:t>命题单位：</w:t>
      </w:r>
      <w:r>
        <w:rPr>
          <w:rFonts w:hint="eastAsia" w:ascii="Times New Roman" w:hAnsi="Times New Roman" w:eastAsia="黑体" w:cs="Times New Roman"/>
          <w:bCs/>
          <w:sz w:val="32"/>
          <w:szCs w:val="32"/>
          <w:highlight w:val="none"/>
          <w:lang w:eastAsia="zh-CN"/>
        </w:rPr>
        <w:t>调解仲裁管理处、省劳动人事争议仲裁院</w:t>
      </w:r>
    </w:p>
    <w:p>
      <w:pPr>
        <w:widowControl/>
        <w:numPr>
          <w:ilvl w:val="0"/>
          <w:numId w:val="3"/>
        </w:numPr>
        <w:ind w:left="0" w:leftChars="0" w:firstLine="400" w:firstLineChars="0"/>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用人单位招用劳动者未订立书面劳动合同，双方劳动关系确认应同时具备哪些情形？</w:t>
      </w:r>
    </w:p>
    <w:p>
      <w:pPr>
        <w:pStyle w:val="2"/>
        <w:rPr>
          <w:rFonts w:ascii="Times New Roman" w:hAnsi="Times New Roman" w:eastAsia="宋体" w:cs="Times New Roman"/>
          <w:sz w:val="32"/>
          <w:szCs w:val="32"/>
          <w:highlight w:val="none"/>
        </w:rPr>
      </w:pPr>
      <w:r>
        <w:rPr>
          <w:rFonts w:hint="eastAsia" w:ascii="宋体" w:hAnsi="宋体" w:eastAsia="宋体" w:cs="宋体"/>
          <w:b/>
          <w:bCs/>
          <w:sz w:val="32"/>
          <w:szCs w:val="32"/>
          <w:highlight w:val="none"/>
        </w:rPr>
        <w:t>答：</w:t>
      </w:r>
      <w:r>
        <w:rPr>
          <w:rFonts w:hint="eastAsia" w:ascii="宋体" w:hAnsi="宋体" w:eastAsia="宋体" w:cs="宋体"/>
          <w:sz w:val="32"/>
          <w:szCs w:val="32"/>
          <w:highlight w:val="none"/>
        </w:rPr>
        <w:t>1、用人单位和劳动者符合法律、法规规定的主体资格；2、用人单位依法制定的各项劳动规章制度适用于劳动者，劳动者受用人单位的劳动管理，从事用人单位安排的有报酬的劳动；3、劳动者提供的劳动是用人单位业务的组成部分。</w:t>
      </w:r>
    </w:p>
    <w:p>
      <w:pPr>
        <w:spacing w:before="156" w:beforeLines="50"/>
        <w:ind w:firstLine="420"/>
        <w:rPr>
          <w:rFonts w:hint="eastAsia" w:ascii="宋体" w:hAnsi="宋体" w:eastAsia="黑体" w:cs="宋体"/>
          <w:sz w:val="32"/>
          <w:szCs w:val="32"/>
          <w:highlight w:val="none"/>
          <w:lang w:eastAsia="zh-CN"/>
        </w:rPr>
      </w:pPr>
      <w:r>
        <w:rPr>
          <w:rFonts w:hint="eastAsia" w:ascii="黑体" w:hAnsi="黑体" w:eastAsia="黑体" w:cs="Times New Roman"/>
          <w:sz w:val="32"/>
          <w:szCs w:val="32"/>
          <w:highlight w:val="none"/>
        </w:rPr>
        <w:t>命题单位：</w:t>
      </w:r>
      <w:r>
        <w:rPr>
          <w:rFonts w:hint="eastAsia" w:ascii="Times New Roman" w:hAnsi="Times New Roman" w:eastAsia="黑体" w:cs="Times New Roman"/>
          <w:bCs/>
          <w:sz w:val="32"/>
          <w:szCs w:val="32"/>
          <w:highlight w:val="none"/>
          <w:lang w:eastAsia="zh-CN"/>
        </w:rPr>
        <w:t>调解仲裁管理处、省劳动人事争议仲裁院</w:t>
      </w:r>
    </w:p>
    <w:p>
      <w:pPr>
        <w:widowControl/>
        <w:numPr>
          <w:ilvl w:val="0"/>
          <w:numId w:val="3"/>
        </w:numPr>
        <w:ind w:left="0" w:leftChars="0" w:firstLine="400" w:firstLineChars="0"/>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哪些情形下劳动合同无效或者部分无效？</w:t>
      </w:r>
    </w:p>
    <w:p>
      <w:pPr>
        <w:pStyle w:val="2"/>
        <w:rPr>
          <w:rFonts w:ascii="Times New Roman" w:hAnsi="Times New Roman" w:eastAsia="宋体" w:cs="Times New Roman"/>
          <w:sz w:val="32"/>
          <w:szCs w:val="32"/>
          <w:highlight w:val="none"/>
        </w:rPr>
      </w:pPr>
      <w:r>
        <w:rPr>
          <w:rFonts w:hint="eastAsia" w:ascii="宋体" w:hAnsi="宋体" w:eastAsia="宋体" w:cs="宋体"/>
          <w:b/>
          <w:bCs/>
          <w:sz w:val="32"/>
          <w:szCs w:val="32"/>
          <w:highlight w:val="none"/>
        </w:rPr>
        <w:t>答</w:t>
      </w:r>
      <w:r>
        <w:rPr>
          <w:rFonts w:hint="eastAsia" w:ascii="宋体" w:hAnsi="宋体" w:eastAsia="宋体" w:cs="宋体"/>
          <w:sz w:val="32"/>
          <w:szCs w:val="32"/>
          <w:highlight w:val="none"/>
        </w:rPr>
        <w:t>：下列劳动合同无效或者部分无效：1、以欺诈、胁迫的手段或者乘人之危，使对方在违背真实意思的情况下订立或者变更劳动合同的；2、用人单位免除自己的法定责任、排除劳动者权利的；3、违反法律、行政法规强制性规定的。</w:t>
      </w:r>
    </w:p>
    <w:p>
      <w:pPr>
        <w:spacing w:before="156" w:beforeLines="50"/>
        <w:ind w:firstLine="420"/>
        <w:rPr>
          <w:rFonts w:hint="eastAsia" w:ascii="宋体" w:hAnsi="宋体" w:eastAsia="黑体" w:cs="宋体"/>
          <w:sz w:val="32"/>
          <w:szCs w:val="32"/>
          <w:highlight w:val="none"/>
          <w:lang w:eastAsia="zh-CN"/>
        </w:rPr>
      </w:pPr>
      <w:r>
        <w:rPr>
          <w:rFonts w:hint="eastAsia" w:ascii="黑体" w:hAnsi="黑体" w:eastAsia="黑体" w:cs="Times New Roman"/>
          <w:sz w:val="32"/>
          <w:szCs w:val="32"/>
          <w:highlight w:val="none"/>
        </w:rPr>
        <w:t>命题单位：</w:t>
      </w:r>
      <w:r>
        <w:rPr>
          <w:rFonts w:hint="eastAsia" w:ascii="Times New Roman" w:hAnsi="Times New Roman" w:eastAsia="黑体" w:cs="Times New Roman"/>
          <w:bCs/>
          <w:sz w:val="32"/>
          <w:szCs w:val="32"/>
          <w:highlight w:val="none"/>
          <w:lang w:eastAsia="zh-CN"/>
        </w:rPr>
        <w:t>调解仲裁管理处、省劳动人事争议仲裁院</w:t>
      </w:r>
    </w:p>
    <w:p>
      <w:pPr>
        <w:widowControl/>
        <w:numPr>
          <w:ilvl w:val="0"/>
          <w:numId w:val="3"/>
        </w:numPr>
        <w:ind w:left="0" w:leftChars="0" w:firstLine="400" w:firstLineChars="0"/>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 xml:space="preserve">事业单位在编聘用人员符合哪些情形，聘用单位应向其支付解除聘用合同经济补偿？经济补偿的支付标准是什么？ </w:t>
      </w:r>
    </w:p>
    <w:p>
      <w:pPr>
        <w:pStyle w:val="2"/>
        <w:rPr>
          <w:rFonts w:hint="eastAsia" w:ascii="宋体" w:hAnsi="宋体" w:eastAsia="宋体" w:cs="宋体"/>
          <w:sz w:val="32"/>
          <w:szCs w:val="32"/>
          <w:highlight w:val="none"/>
        </w:rPr>
      </w:pPr>
      <w:r>
        <w:rPr>
          <w:rFonts w:hint="eastAsia" w:ascii="宋体" w:hAnsi="宋体" w:eastAsia="宋体" w:cs="宋体"/>
          <w:b/>
          <w:bCs/>
          <w:sz w:val="32"/>
          <w:szCs w:val="32"/>
          <w:highlight w:val="none"/>
        </w:rPr>
        <w:t>答</w:t>
      </w:r>
      <w:r>
        <w:rPr>
          <w:rFonts w:hint="eastAsia" w:ascii="宋体" w:hAnsi="宋体" w:eastAsia="宋体" w:cs="宋体"/>
          <w:sz w:val="32"/>
          <w:szCs w:val="32"/>
          <w:highlight w:val="none"/>
        </w:rPr>
        <w:t>：有下列解除聘用合同情形之一的，聘用单位应当根据被解聘人员在本单位的实际工作年限向其支付经济补偿：1、聘用单位提出解除聘用合同，受聘人员同意解除的；2、受聘人员患病或者非因工负伤，医疗期满后，不能从事原工作也不能从事由聘用单位安排的其他工作，聘用单位单方面解除聘用合同的；3、受聘人员年度考核不合格或者聘期考核不合格，又不同意聘用单位调整其工作岗位的，或者虽同意调整工作岗位，但到新岗位后考核仍不合格，聘用单位单方面解除聘用合同的。</w:t>
      </w:r>
    </w:p>
    <w:p>
      <w:pPr>
        <w:pStyle w:val="2"/>
        <w:rPr>
          <w:rFonts w:hint="eastAsia" w:ascii="宋体" w:hAnsi="宋体" w:eastAsia="宋体" w:cs="宋体"/>
          <w:sz w:val="32"/>
          <w:szCs w:val="32"/>
          <w:highlight w:val="none"/>
        </w:rPr>
      </w:pPr>
      <w:r>
        <w:rPr>
          <w:rFonts w:hint="eastAsia" w:ascii="宋体" w:hAnsi="宋体" w:eastAsia="宋体" w:cs="宋体"/>
          <w:sz w:val="32"/>
          <w:szCs w:val="32"/>
          <w:highlight w:val="none"/>
        </w:rPr>
        <w:t>经济补偿以被解聘人员在该聘用单位每工作1年，支付其本人1个月的上年月平均工资为标准；月平均工资高于当地月平均工资3倍以上的，按当地月平均工资的3倍计算。</w:t>
      </w:r>
    </w:p>
    <w:p>
      <w:pPr>
        <w:spacing w:before="156" w:beforeLines="50"/>
        <w:ind w:firstLine="420"/>
        <w:rPr>
          <w:rFonts w:hint="eastAsia" w:ascii="宋体" w:hAnsi="宋体" w:eastAsia="宋体" w:cs="宋体"/>
          <w:sz w:val="32"/>
          <w:szCs w:val="32"/>
          <w:highlight w:val="none"/>
        </w:rPr>
      </w:pPr>
      <w:r>
        <w:rPr>
          <w:rFonts w:hint="eastAsia" w:ascii="黑体" w:hAnsi="黑体" w:eastAsia="黑体" w:cs="Times New Roman"/>
          <w:sz w:val="32"/>
          <w:szCs w:val="32"/>
          <w:highlight w:val="none"/>
        </w:rPr>
        <w:t>命题单位：</w:t>
      </w:r>
      <w:r>
        <w:rPr>
          <w:rFonts w:hint="eastAsia" w:ascii="Times New Roman" w:hAnsi="Times New Roman" w:eastAsia="黑体" w:cs="Times New Roman"/>
          <w:bCs/>
          <w:sz w:val="32"/>
          <w:szCs w:val="32"/>
          <w:highlight w:val="none"/>
          <w:lang w:eastAsia="zh-CN"/>
        </w:rPr>
        <w:t>调解仲裁管理处、省劳动人事争议仲裁院</w:t>
      </w:r>
    </w:p>
    <w:p>
      <w:pPr>
        <w:widowControl/>
        <w:numPr>
          <w:ilvl w:val="0"/>
          <w:numId w:val="3"/>
        </w:numPr>
        <w:ind w:left="0" w:leftChars="0" w:firstLine="400" w:firstLineChars="0"/>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根据《山东省劳动人事争议调解仲裁条例》，哪些人员可以被委托为仲裁代理人？</w:t>
      </w:r>
    </w:p>
    <w:p>
      <w:pPr>
        <w:tabs>
          <w:tab w:val="left" w:pos="420"/>
          <w:tab w:val="left" w:pos="2310"/>
          <w:tab w:val="left" w:pos="2520"/>
          <w:tab w:val="left" w:pos="4200"/>
          <w:tab w:val="left" w:pos="6090"/>
        </w:tabs>
        <w:ind w:firstLine="420"/>
        <w:rPr>
          <w:rFonts w:hint="eastAsia" w:ascii="宋体" w:hAnsi="宋体" w:eastAsia="宋体" w:cs="Times New Roman"/>
          <w:sz w:val="32"/>
          <w:szCs w:val="32"/>
          <w:highlight w:val="none"/>
          <w:lang w:val="en-US" w:eastAsia="zh-CN"/>
        </w:rPr>
      </w:pPr>
      <w:r>
        <w:rPr>
          <w:rFonts w:hint="eastAsia" w:ascii="宋体" w:hAnsi="宋体" w:eastAsia="宋体" w:cs="Times New Roman"/>
          <w:b/>
          <w:bCs/>
          <w:sz w:val="32"/>
          <w:szCs w:val="32"/>
          <w:highlight w:val="none"/>
          <w:lang w:val="en-US" w:eastAsia="zh-CN"/>
        </w:rPr>
        <w:t>答：</w:t>
      </w:r>
      <w:r>
        <w:rPr>
          <w:rFonts w:hint="eastAsia" w:ascii="宋体" w:hAnsi="宋体" w:eastAsia="宋体" w:cs="Times New Roman"/>
          <w:sz w:val="32"/>
          <w:szCs w:val="32"/>
          <w:highlight w:val="none"/>
          <w:lang w:val="en-US" w:eastAsia="zh-CN"/>
        </w:rPr>
        <w:t>(一)律师、基层法律服务工作者；(二)当事人的近亲属或者用人单位的工作人员；(三)当事人所在单位、居民委员会、村民委员会以及有关社会团体推荐的公民。</w:t>
      </w:r>
    </w:p>
    <w:p>
      <w:pPr>
        <w:spacing w:before="156" w:beforeLines="50"/>
        <w:ind w:firstLine="420"/>
        <w:rPr>
          <w:rFonts w:hint="eastAsia" w:ascii="宋体" w:hAnsi="宋体" w:eastAsia="宋体" w:cs="宋体"/>
          <w:sz w:val="32"/>
          <w:szCs w:val="32"/>
          <w:highlight w:val="none"/>
        </w:rPr>
      </w:pPr>
      <w:r>
        <w:rPr>
          <w:rFonts w:hint="eastAsia" w:ascii="黑体" w:hAnsi="黑体" w:eastAsia="黑体" w:cs="Times New Roman"/>
          <w:sz w:val="32"/>
          <w:szCs w:val="32"/>
          <w:highlight w:val="none"/>
        </w:rPr>
        <w:t>命题单位：</w:t>
      </w:r>
      <w:r>
        <w:rPr>
          <w:rFonts w:hint="eastAsia" w:ascii="Times New Roman" w:hAnsi="Times New Roman" w:eastAsia="黑体" w:cs="Times New Roman"/>
          <w:bCs/>
          <w:sz w:val="32"/>
          <w:szCs w:val="32"/>
          <w:highlight w:val="none"/>
          <w:lang w:eastAsia="zh-CN"/>
        </w:rPr>
        <w:t>调解仲裁管理处、省劳动人事争议仲裁院</w:t>
      </w:r>
    </w:p>
    <w:p>
      <w:pPr>
        <w:widowControl/>
        <w:numPr>
          <w:ilvl w:val="0"/>
          <w:numId w:val="3"/>
        </w:numPr>
        <w:ind w:left="0" w:leftChars="0" w:firstLine="400" w:firstLineChars="0"/>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根据《山东省劳动人事争议调解仲裁条例》，哪些情形下仲裁庭应当终结仲裁？</w:t>
      </w:r>
    </w:p>
    <w:p>
      <w:pPr>
        <w:tabs>
          <w:tab w:val="left" w:pos="420"/>
          <w:tab w:val="left" w:pos="2310"/>
          <w:tab w:val="left" w:pos="2520"/>
          <w:tab w:val="left" w:pos="4200"/>
          <w:tab w:val="left" w:pos="6090"/>
        </w:tabs>
        <w:ind w:firstLine="420"/>
        <w:rPr>
          <w:rFonts w:hint="eastAsia" w:ascii="宋体" w:hAnsi="宋体" w:eastAsia="宋体" w:cs="Times New Roman"/>
          <w:b w:val="0"/>
          <w:bCs w:val="0"/>
          <w:sz w:val="32"/>
          <w:szCs w:val="32"/>
          <w:highlight w:val="none"/>
          <w:lang w:val="en-US" w:eastAsia="zh-CN"/>
        </w:rPr>
      </w:pPr>
      <w:r>
        <w:rPr>
          <w:rFonts w:hint="eastAsia" w:ascii="宋体" w:hAnsi="宋体" w:eastAsia="宋体" w:cs="Times New Roman"/>
          <w:b/>
          <w:bCs/>
          <w:sz w:val="32"/>
          <w:szCs w:val="32"/>
          <w:highlight w:val="none"/>
          <w:lang w:val="en-US" w:eastAsia="zh-CN"/>
        </w:rPr>
        <w:t>答：</w:t>
      </w:r>
      <w:r>
        <w:rPr>
          <w:rFonts w:hint="eastAsia" w:ascii="宋体" w:hAnsi="宋体" w:eastAsia="宋体" w:cs="Times New Roman"/>
          <w:b w:val="0"/>
          <w:bCs w:val="0"/>
          <w:sz w:val="32"/>
          <w:szCs w:val="32"/>
          <w:highlight w:val="none"/>
          <w:lang w:val="en-US" w:eastAsia="zh-CN"/>
        </w:rPr>
        <w:t>劳动人事争议案件仲裁期间,有下列情形之一的,仲裁庭应当终结仲裁:(一)劳动者一方当事人死亡,没有继承人或者继承人明确表示不参加仲裁的；(二)申请人撤回仲裁申请的；(三)仲裁庭逾期未作出裁决,当事人就该争议事项向人民法院提起诉讼,人民法院已经受理的；(四)法律、法规、规章规定的其他情形。</w:t>
      </w:r>
    </w:p>
    <w:p>
      <w:pPr>
        <w:spacing w:before="156" w:beforeLines="50"/>
        <w:ind w:firstLine="420"/>
        <w:rPr>
          <w:rFonts w:hint="eastAsia" w:ascii="宋体" w:hAnsi="宋体" w:eastAsia="黑体" w:cs="宋体"/>
          <w:sz w:val="32"/>
          <w:szCs w:val="32"/>
          <w:highlight w:val="none"/>
          <w:lang w:eastAsia="zh-CN"/>
        </w:rPr>
      </w:pPr>
      <w:r>
        <w:rPr>
          <w:rFonts w:hint="eastAsia" w:ascii="黑体" w:hAnsi="黑体" w:eastAsia="黑体" w:cs="Times New Roman"/>
          <w:sz w:val="32"/>
          <w:szCs w:val="32"/>
          <w:highlight w:val="none"/>
        </w:rPr>
        <w:t>命题单位：</w:t>
      </w:r>
      <w:r>
        <w:rPr>
          <w:rFonts w:hint="eastAsia" w:ascii="黑体" w:hAnsi="黑体" w:eastAsia="黑体" w:cs="Times New Roman"/>
          <w:sz w:val="32"/>
          <w:szCs w:val="32"/>
          <w:highlight w:val="none"/>
          <w:lang w:eastAsia="zh-CN"/>
        </w:rPr>
        <w:t>劳动监察处、执法监察局</w:t>
      </w:r>
    </w:p>
    <w:p>
      <w:pPr>
        <w:widowControl/>
        <w:numPr>
          <w:ilvl w:val="0"/>
          <w:numId w:val="3"/>
        </w:numPr>
        <w:ind w:left="23" w:leftChars="0" w:firstLine="400" w:firstLineChars="0"/>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以逃避支付劳动者的劳动报酬为目的，应当认定“以转移财产、逃匿等方法逃避支付劳动者的劳动报酬”的情形有哪些？</w:t>
      </w:r>
    </w:p>
    <w:p>
      <w:pPr>
        <w:pStyle w:val="2"/>
        <w:rPr>
          <w:rFonts w:hint="eastAsia" w:ascii="宋体" w:hAnsi="宋体" w:eastAsia="宋体" w:cs="宋体"/>
          <w:sz w:val="32"/>
          <w:szCs w:val="32"/>
          <w:highlight w:val="none"/>
        </w:rPr>
      </w:pPr>
      <w:r>
        <w:rPr>
          <w:rFonts w:hint="eastAsia" w:ascii="宋体" w:hAnsi="宋体" w:eastAsia="宋体" w:cs="宋体"/>
          <w:b/>
          <w:bCs/>
          <w:sz w:val="32"/>
          <w:szCs w:val="32"/>
          <w:highlight w:val="none"/>
        </w:rPr>
        <w:t>答</w:t>
      </w:r>
      <w:r>
        <w:rPr>
          <w:rFonts w:hint="eastAsia" w:ascii="宋体" w:hAnsi="宋体" w:eastAsia="宋体" w:cs="宋体"/>
          <w:b/>
          <w:bCs/>
          <w:sz w:val="32"/>
          <w:szCs w:val="32"/>
          <w:highlight w:val="none"/>
          <w:lang w:eastAsia="zh-CN"/>
        </w:rPr>
        <w:t>：</w:t>
      </w:r>
      <w:r>
        <w:rPr>
          <w:rFonts w:hint="eastAsia" w:ascii="宋体" w:hAnsi="宋体" w:eastAsia="宋体" w:cs="宋体"/>
          <w:sz w:val="32"/>
          <w:szCs w:val="32"/>
          <w:highlight w:val="none"/>
        </w:rPr>
        <w:t>1.隐匿财产、恶意清偿、虚构债务、虚假破产、虚假倒闭或者以其他方法转移、处分财产的；2.逃跑、藏匿的；3.被拖欠工资的劳动者、其他知情人证明行为人转移财产，人力资源社会保障部门经调查并通过拍照、录像等方式记录转移财产现场或转移财产后现场的；4.行为人拖欠劳动者劳动报酬后，人力资源社会保障部门通过书面、电话、短信等能够确认其收悉的方式，通知其在指定的时间内到指定的地点配合解决问题，其在指定的时间内未到指定的地点配合解决问题或明确表示拒不支付劳动报酬的，行为人有证据证明因自然灾害、突发重大疾病等非人力所能抗拒的原因造成其无法在指定的时间内到指定的地点配合解决问题的除外；5.行为人委托代理人或者近亲属接受调查，但是受委托人不能提供或拒绝提供劳动报酬数额及支付情况等相关资料，人力资源社会保障部门认为有必要由行为人出面接受调查并告知受委托人应当由行为人出面接受调查，经书面、电话或短信等行为人能够收悉的方式联系行为人后，行为人在指定的时间内未到指定的地点接受调查的；6.行为人采取隐匿、销毁或篡改的方式，不向人力资源社会保障部门提供相关账目、职工名册、工资支付记录、考勤记录等与劳动报酬相关的材料的；7.以其他方法逃避支付劳动者的劳动报酬的。</w:t>
      </w:r>
    </w:p>
    <w:p>
      <w:pPr>
        <w:pStyle w:val="2"/>
        <w:rPr>
          <w:rFonts w:ascii="Times New Roman" w:hAnsi="Times New Roman" w:eastAsia="宋体" w:cs="Times New Roman"/>
          <w:sz w:val="32"/>
          <w:szCs w:val="32"/>
          <w:highlight w:val="none"/>
        </w:rPr>
      </w:pPr>
      <w:r>
        <w:rPr>
          <w:rFonts w:hint="eastAsia" w:ascii="宋体" w:hAnsi="宋体" w:eastAsia="宋体" w:cs="宋体"/>
          <w:b/>
          <w:bCs/>
          <w:sz w:val="32"/>
          <w:szCs w:val="32"/>
          <w:highlight w:val="none"/>
          <w:lang w:eastAsia="zh-CN"/>
        </w:rPr>
        <w:t>解析：</w:t>
      </w:r>
      <w:r>
        <w:rPr>
          <w:rFonts w:hint="eastAsia" w:ascii="宋体" w:hAnsi="宋体" w:eastAsia="宋体" w:cs="宋体"/>
          <w:sz w:val="32"/>
          <w:szCs w:val="32"/>
          <w:highlight w:val="none"/>
        </w:rPr>
        <w:t>《山东省高级人民法院 山东省人民检察院 山东省人力资源和社会保障厅 山东省公安厅 关于进一步加强涉嫌拒不支付劳动报酬犯罪案件查处衔接工作的通知》（鲁人社发〔2019〕4号）规定：以逃避支付劳动者的劳动报酬为目的，具有下列情形之一的，应当认定“以转移财产、逃匿等方法逃避支付劳动者的劳动报酬”：1.隐匿财产、恶意清偿、虚构债务、虚假破产、虚假倒闭或者以其他方法转移、处分财产的；2.逃跑、藏匿的；3.被拖欠工资的劳动者、其他知情人证明行为人转移财产，人力资源社会保障部门经调查并通过拍照、录像等方式记录转移财产现场或转移财产后现场的；4.行为人拖欠劳动者劳动报酬后，人力资源社会保障部门通过书面、电话、短信等能够确认其收悉的方式，通知其在指定的时间内到指定的地点配合解决问题，其在指定的时间内未到指定的地点配合解决问题或明确表示拒不支付劳动报酬的，行为人有证据证明因自然灾害、突发重大疾病等非人力所能抗拒的原因造成其无法在指定的时间内到指定的地点配合解决问题的除外；5.行为人委托代理人或者近亲属接受调查，但是受委托人不能提供或拒绝提供劳动报酬数额及支付情况等相关资料，人力资源社会保障部门认为有必要由行为人出面接受调查并告知受委托人应当由行为人出面接受调查，经书面、电话或短信等行为人能够收悉的方式联系行为人后，行为人在指定的时间内未到指定的地点接受调查的；6.行为人采取隐匿、销毁或篡改的方式，不向人力资源社会保障部门提供相关账目、职工名册、工资支付记录、考勤记录等与劳动报酬相关的材料的；7.以其他方法逃避支付劳动者的劳动报酬的。</w:t>
      </w:r>
    </w:p>
    <w:p>
      <w:pPr>
        <w:spacing w:before="156" w:beforeLines="50"/>
        <w:ind w:firstLine="420"/>
        <w:rPr>
          <w:rFonts w:hint="eastAsia" w:ascii="宋体" w:hAnsi="宋体" w:eastAsia="黑体" w:cs="宋体"/>
          <w:sz w:val="32"/>
          <w:szCs w:val="32"/>
          <w:highlight w:val="none"/>
          <w:lang w:eastAsia="zh-CN"/>
        </w:rPr>
      </w:pPr>
      <w:r>
        <w:rPr>
          <w:rFonts w:hint="eastAsia" w:ascii="黑体" w:hAnsi="黑体" w:eastAsia="黑体" w:cs="Times New Roman"/>
          <w:sz w:val="32"/>
          <w:szCs w:val="32"/>
          <w:highlight w:val="none"/>
        </w:rPr>
        <w:t>命题单位</w:t>
      </w:r>
      <w:r>
        <w:rPr>
          <w:rFonts w:hint="eastAsia" w:ascii="黑体" w:hAnsi="黑体" w:eastAsia="黑体" w:cs="黑体"/>
          <w:sz w:val="32"/>
          <w:szCs w:val="32"/>
          <w:highlight w:val="none"/>
          <w:lang w:val="en-US" w:eastAsia="zh-CN"/>
        </w:rPr>
        <w:t>：劳动监察处、执法监察局</w:t>
      </w:r>
    </w:p>
    <w:p>
      <w:pPr>
        <w:widowControl/>
        <w:numPr>
          <w:ilvl w:val="0"/>
          <w:numId w:val="3"/>
        </w:numPr>
        <w:ind w:left="23" w:leftChars="0" w:firstLine="400" w:firstLineChars="0"/>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行为人具有哪些情形且不支付劳动报酬，可作为认定行为人涉嫌“有能力支付而不支付劳动者的劳动报酬”的依据？</w:t>
      </w:r>
    </w:p>
    <w:p>
      <w:pPr>
        <w:pStyle w:val="2"/>
        <w:rPr>
          <w:rFonts w:hint="eastAsia" w:ascii="宋体" w:hAnsi="宋体" w:eastAsia="宋体" w:cs="宋体"/>
          <w:sz w:val="32"/>
          <w:szCs w:val="32"/>
          <w:highlight w:val="none"/>
        </w:rPr>
      </w:pPr>
      <w:r>
        <w:rPr>
          <w:rFonts w:hint="eastAsia" w:ascii="宋体" w:hAnsi="宋体" w:eastAsia="宋体" w:cs="宋体"/>
          <w:b/>
          <w:bCs/>
          <w:sz w:val="32"/>
          <w:szCs w:val="32"/>
          <w:highlight w:val="none"/>
        </w:rPr>
        <w:t>答</w:t>
      </w:r>
      <w:r>
        <w:rPr>
          <w:rFonts w:hint="eastAsia" w:ascii="宋体" w:hAnsi="宋体" w:eastAsia="宋体" w:cs="宋体"/>
          <w:b/>
          <w:bCs/>
          <w:sz w:val="32"/>
          <w:szCs w:val="32"/>
          <w:highlight w:val="none"/>
          <w:lang w:eastAsia="zh-CN"/>
        </w:rPr>
        <w:t>：</w:t>
      </w:r>
      <w:r>
        <w:rPr>
          <w:rFonts w:hint="eastAsia" w:ascii="宋体" w:hAnsi="宋体" w:eastAsia="宋体" w:cs="宋体"/>
          <w:sz w:val="32"/>
          <w:szCs w:val="32"/>
          <w:highlight w:val="none"/>
        </w:rPr>
        <w:t>1.有可支配的金融机构存款或权利凭证；2.有可处置的非家庭生活必需的不动产或价值较大的动产；3.有到期债权而怠于行使；4.其他有能力支付而不支付的情形。</w:t>
      </w:r>
    </w:p>
    <w:p>
      <w:pPr>
        <w:pStyle w:val="2"/>
        <w:rPr>
          <w:rFonts w:ascii="Times New Roman" w:hAnsi="Times New Roman" w:eastAsia="宋体" w:cs="Times New Roman"/>
          <w:sz w:val="32"/>
          <w:szCs w:val="32"/>
          <w:highlight w:val="none"/>
        </w:rPr>
      </w:pPr>
      <w:r>
        <w:rPr>
          <w:rFonts w:hint="eastAsia" w:ascii="宋体" w:hAnsi="宋体" w:eastAsia="宋体" w:cs="宋体"/>
          <w:b/>
          <w:bCs/>
          <w:sz w:val="32"/>
          <w:szCs w:val="32"/>
          <w:highlight w:val="none"/>
          <w:lang w:eastAsia="zh-CN"/>
        </w:rPr>
        <w:t>解析</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rPr>
        <w:t>《山东省高级人民法院 山东省人民检察院 山东省人力资源和社会保障厅 山东省公安厅 关于进一步加强涉嫌拒不支付劳动报酬犯罪案件查处衔接工作的通知》（鲁人社发〔2019〕4号）规定：行为人具有下列情形之一且不支付劳动报酬，可作为认定行为人涉嫌“有能力支付而不支付劳动者的劳动报酬”的依据：1.有可支配的金融机构存款或权利凭证；2.有可处置的非家庭生活必需的不动产或价值较大的动产；3.有到期债权而怠于行使；4.其他有能力支付而不支付的情形。</w:t>
      </w:r>
    </w:p>
    <w:p>
      <w:pPr>
        <w:spacing w:before="156" w:beforeLines="50"/>
        <w:ind w:firstLine="420"/>
        <w:rPr>
          <w:rFonts w:hint="eastAsia" w:ascii="宋体" w:hAnsi="宋体" w:eastAsia="黑体" w:cs="宋体"/>
          <w:sz w:val="32"/>
          <w:szCs w:val="32"/>
          <w:highlight w:val="none"/>
          <w:lang w:eastAsia="zh-CN"/>
        </w:rPr>
      </w:pPr>
      <w:r>
        <w:rPr>
          <w:rFonts w:hint="eastAsia" w:ascii="黑体" w:hAnsi="黑体" w:eastAsia="黑体" w:cs="Times New Roman"/>
          <w:sz w:val="32"/>
          <w:szCs w:val="32"/>
          <w:highlight w:val="none"/>
        </w:rPr>
        <w:t>命题单位：</w:t>
      </w:r>
      <w:r>
        <w:rPr>
          <w:rFonts w:hint="eastAsia" w:ascii="黑体" w:hAnsi="黑体" w:eastAsia="黑体" w:cs="Times New Roman"/>
          <w:sz w:val="32"/>
          <w:szCs w:val="32"/>
          <w:highlight w:val="none"/>
          <w:lang w:eastAsia="zh-CN"/>
        </w:rPr>
        <w:t>劳动监察处、执法监察局</w:t>
      </w:r>
    </w:p>
    <w:p>
      <w:pPr>
        <w:widowControl/>
        <w:numPr>
          <w:ilvl w:val="0"/>
          <w:numId w:val="3"/>
        </w:numPr>
        <w:ind w:left="23" w:leftChars="0" w:firstLine="400" w:firstLineChars="0"/>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在哪些情形下，人力资源社会保障部门应当通报公安机关，公安机关接到通报后，可以提前介入？</w:t>
      </w:r>
    </w:p>
    <w:p>
      <w:pPr>
        <w:pStyle w:val="2"/>
        <w:rPr>
          <w:rFonts w:hint="eastAsia" w:ascii="宋体" w:hAnsi="宋体" w:eastAsia="宋体" w:cs="宋体"/>
          <w:sz w:val="32"/>
          <w:szCs w:val="32"/>
          <w:highlight w:val="none"/>
        </w:rPr>
      </w:pPr>
      <w:r>
        <w:rPr>
          <w:rFonts w:hint="eastAsia" w:ascii="宋体" w:hAnsi="宋体" w:eastAsia="宋体" w:cs="宋体"/>
          <w:b/>
          <w:bCs/>
          <w:sz w:val="32"/>
          <w:szCs w:val="32"/>
          <w:highlight w:val="none"/>
        </w:rPr>
        <w:t>答</w:t>
      </w:r>
      <w:r>
        <w:rPr>
          <w:rFonts w:hint="eastAsia" w:ascii="宋体" w:hAnsi="宋体" w:eastAsia="宋体" w:cs="宋体"/>
          <w:b/>
          <w:bCs/>
          <w:sz w:val="32"/>
          <w:szCs w:val="32"/>
          <w:highlight w:val="none"/>
          <w:lang w:eastAsia="zh-CN"/>
        </w:rPr>
        <w:t>：</w:t>
      </w:r>
      <w:r>
        <w:rPr>
          <w:rFonts w:hint="eastAsia" w:ascii="宋体" w:hAnsi="宋体" w:eastAsia="宋体" w:cs="宋体"/>
          <w:sz w:val="32"/>
          <w:szCs w:val="32"/>
          <w:highlight w:val="none"/>
        </w:rPr>
        <w:t>1.对有证据表明可能涉嫌犯罪的行为人有逃匿或者销毁证据迹象，需要公安机关参与、配合的；2.行为人实施销毁会计账簿、职工名册等证据材料、可能逃匿、转移财产的；3.因拒不支付劳动报酬行为引发或可能引发群体性事件的；4.经协商需要提前介入的。</w:t>
      </w:r>
    </w:p>
    <w:p>
      <w:pPr>
        <w:pStyle w:val="2"/>
        <w:rPr>
          <w:rFonts w:ascii="Times New Roman" w:hAnsi="Times New Roman" w:eastAsia="宋体" w:cs="Times New Roman"/>
          <w:sz w:val="32"/>
          <w:szCs w:val="32"/>
          <w:highlight w:val="none"/>
        </w:rPr>
      </w:pPr>
      <w:r>
        <w:rPr>
          <w:rFonts w:hint="eastAsia" w:ascii="宋体" w:hAnsi="宋体" w:eastAsia="宋体" w:cs="宋体"/>
          <w:b/>
          <w:bCs/>
          <w:sz w:val="32"/>
          <w:szCs w:val="32"/>
          <w:highlight w:val="none"/>
          <w:lang w:eastAsia="zh-CN"/>
        </w:rPr>
        <w:t>解析：</w:t>
      </w:r>
      <w:r>
        <w:rPr>
          <w:rFonts w:hint="eastAsia" w:ascii="宋体" w:hAnsi="宋体" w:eastAsia="宋体" w:cs="宋体"/>
          <w:sz w:val="32"/>
          <w:szCs w:val="32"/>
          <w:highlight w:val="none"/>
        </w:rPr>
        <w:t>《山东省高级人民法院 山东省人民检察院 山东省人力资源和社会保障厅 山东省公安厅 关于进一步加强涉嫌拒不支付劳动报酬犯罪案件查处衔接工作的通知》（鲁人社发〔2019〕4号）规定：有下列情形的，人力资源社会保障部门应当通报公安机关。公安机关接到通报后，可以提前介入。1.对有证据表明可能涉嫌犯罪的行为人有逃匿或者销毁证据迹象，需要公安机关参与、配合的；2.行为人实施销毁会计账簿、职工名册等证据材料、可能逃匿、转移财产的；3.因拒不支付劳动报酬行为引发或可能引发群体性事件的；4.经协商需要提前介入的。</w:t>
      </w:r>
    </w:p>
    <w:p>
      <w:pPr>
        <w:spacing w:before="156" w:beforeLines="50"/>
        <w:ind w:firstLine="420"/>
        <w:rPr>
          <w:rFonts w:hint="eastAsia" w:ascii="宋体" w:hAnsi="宋体" w:eastAsia="黑体" w:cs="宋体"/>
          <w:sz w:val="32"/>
          <w:szCs w:val="32"/>
          <w:highlight w:val="none"/>
          <w:lang w:eastAsia="zh-CN"/>
        </w:rPr>
      </w:pPr>
      <w:r>
        <w:rPr>
          <w:rFonts w:hint="eastAsia" w:ascii="黑体" w:hAnsi="黑体" w:eastAsia="黑体" w:cs="Times New Roman"/>
          <w:sz w:val="32"/>
          <w:szCs w:val="32"/>
          <w:highlight w:val="none"/>
        </w:rPr>
        <w:t>命题单位：</w:t>
      </w:r>
      <w:r>
        <w:rPr>
          <w:rFonts w:hint="eastAsia" w:ascii="黑体" w:hAnsi="黑体" w:eastAsia="黑体" w:cs="Times New Roman"/>
          <w:sz w:val="32"/>
          <w:szCs w:val="32"/>
          <w:highlight w:val="none"/>
          <w:lang w:eastAsia="zh-CN"/>
        </w:rPr>
        <w:t>劳动监察处、执法监察局</w:t>
      </w:r>
    </w:p>
    <w:p>
      <w:pPr>
        <w:widowControl/>
        <w:numPr>
          <w:ilvl w:val="0"/>
          <w:numId w:val="3"/>
        </w:numPr>
        <w:ind w:left="23" w:leftChars="0" w:firstLine="400" w:firstLineChars="0"/>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我省重大劳动保障违法案件范畴是如何规定的？</w:t>
      </w:r>
    </w:p>
    <w:p>
      <w:pPr>
        <w:pStyle w:val="2"/>
        <w:rPr>
          <w:rFonts w:hint="eastAsia" w:ascii="宋体" w:hAnsi="宋体" w:eastAsia="宋体" w:cs="宋体"/>
          <w:sz w:val="32"/>
          <w:szCs w:val="32"/>
          <w:highlight w:val="none"/>
        </w:rPr>
      </w:pPr>
      <w:r>
        <w:rPr>
          <w:rFonts w:hint="eastAsia" w:ascii="宋体" w:hAnsi="宋体" w:eastAsia="宋体" w:cs="宋体"/>
          <w:b/>
          <w:bCs/>
          <w:sz w:val="32"/>
          <w:szCs w:val="32"/>
          <w:highlight w:val="none"/>
        </w:rPr>
        <w:t>答</w:t>
      </w:r>
      <w:r>
        <w:rPr>
          <w:rFonts w:hint="eastAsia" w:ascii="宋体" w:hAnsi="宋体" w:eastAsia="宋体" w:cs="宋体"/>
          <w:b/>
          <w:bCs/>
          <w:sz w:val="32"/>
          <w:szCs w:val="32"/>
          <w:highlight w:val="none"/>
          <w:lang w:eastAsia="zh-CN"/>
        </w:rPr>
        <w:t>：</w:t>
      </w:r>
      <w:r>
        <w:rPr>
          <w:rFonts w:hint="eastAsia" w:ascii="宋体" w:hAnsi="宋体" w:eastAsia="宋体" w:cs="宋体"/>
          <w:sz w:val="32"/>
          <w:szCs w:val="32"/>
          <w:highlight w:val="none"/>
        </w:rPr>
        <w:t>中央领导同志及人力资源社会保障部、省委省政府领导同志批办案件，省厅督办案件，媒体反映造成较大影响的侵害劳动者权益案件，劳动保障违法行为引起的五十人以上严重群体性事件以及其他严重违反劳动保障法律案件等。</w:t>
      </w:r>
    </w:p>
    <w:p>
      <w:pPr>
        <w:pStyle w:val="2"/>
        <w:rPr>
          <w:rFonts w:ascii="Times New Roman" w:hAnsi="Times New Roman" w:eastAsia="宋体" w:cs="Times New Roman"/>
          <w:sz w:val="32"/>
          <w:szCs w:val="32"/>
          <w:highlight w:val="none"/>
        </w:rPr>
      </w:pPr>
      <w:r>
        <w:rPr>
          <w:rFonts w:hint="eastAsia" w:ascii="宋体" w:hAnsi="宋体" w:eastAsia="宋体" w:cs="宋体"/>
          <w:b/>
          <w:bCs/>
          <w:sz w:val="32"/>
          <w:szCs w:val="32"/>
          <w:highlight w:val="none"/>
          <w:lang w:eastAsia="zh-CN"/>
        </w:rPr>
        <w:t>解析：</w:t>
      </w:r>
      <w:r>
        <w:rPr>
          <w:rFonts w:hint="eastAsia" w:ascii="宋体" w:hAnsi="宋体" w:eastAsia="宋体" w:cs="宋体"/>
          <w:sz w:val="32"/>
          <w:szCs w:val="32"/>
          <w:highlight w:val="none"/>
        </w:rPr>
        <w:t>《转发人力资源和社会保障部办公厅&lt;关于切实做好重大劳动保障违法案件查处工作的通知&gt;的通知》（鲁人社字〔2010〕25号）规定：中央领导同志及人力资源社会保障部、省委省政府领导同志批办案件，我厅督办案件，媒体反映造成较大影响的侵害劳动者权益案件，劳动保障违法行为引起的五十人以上严重群体性事件以及其他严重违反劳动保障法律案件等，均列为省重大劳动保障违法案件范畴。</w:t>
      </w:r>
    </w:p>
    <w:p>
      <w:pPr>
        <w:spacing w:before="156" w:beforeLines="50"/>
        <w:ind w:firstLine="420"/>
        <w:rPr>
          <w:rFonts w:hint="eastAsia" w:ascii="宋体" w:hAnsi="宋体" w:eastAsia="黑体" w:cs="宋体"/>
          <w:sz w:val="32"/>
          <w:szCs w:val="32"/>
          <w:highlight w:val="none"/>
          <w:lang w:eastAsia="zh-CN"/>
        </w:rPr>
      </w:pPr>
      <w:r>
        <w:rPr>
          <w:rFonts w:hint="eastAsia" w:ascii="黑体" w:hAnsi="黑体" w:eastAsia="黑体" w:cs="Times New Roman"/>
          <w:sz w:val="32"/>
          <w:szCs w:val="32"/>
          <w:highlight w:val="none"/>
        </w:rPr>
        <w:t>命题单位：</w:t>
      </w:r>
      <w:r>
        <w:rPr>
          <w:rFonts w:hint="eastAsia" w:ascii="黑体" w:hAnsi="黑体" w:eastAsia="黑体" w:cs="Times New Roman"/>
          <w:sz w:val="32"/>
          <w:szCs w:val="32"/>
          <w:highlight w:val="none"/>
          <w:lang w:eastAsia="zh-CN"/>
        </w:rPr>
        <w:t>劳动监察处、执法监察局</w:t>
      </w:r>
    </w:p>
    <w:p>
      <w:pPr>
        <w:widowControl/>
        <w:numPr>
          <w:ilvl w:val="0"/>
          <w:numId w:val="3"/>
        </w:numPr>
        <w:ind w:left="23" w:leftChars="0" w:firstLine="400" w:firstLineChars="0"/>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我省重大劳动保障违法案件查处情况报告制度是如何规定的？</w:t>
      </w:r>
    </w:p>
    <w:p>
      <w:pPr>
        <w:pStyle w:val="2"/>
        <w:rPr>
          <w:rFonts w:hint="eastAsia" w:ascii="宋体" w:hAnsi="宋体" w:eastAsia="宋体" w:cs="宋体"/>
          <w:sz w:val="32"/>
          <w:szCs w:val="32"/>
          <w:highlight w:val="none"/>
        </w:rPr>
      </w:pPr>
      <w:r>
        <w:rPr>
          <w:rFonts w:hint="eastAsia" w:ascii="宋体" w:hAnsi="宋体" w:eastAsia="宋体" w:cs="宋体"/>
          <w:b/>
          <w:bCs/>
          <w:sz w:val="32"/>
          <w:szCs w:val="32"/>
          <w:highlight w:val="none"/>
        </w:rPr>
        <w:t>答</w:t>
      </w:r>
      <w:r>
        <w:rPr>
          <w:rFonts w:hint="eastAsia" w:ascii="宋体" w:hAnsi="宋体" w:eastAsia="宋体" w:cs="宋体"/>
          <w:b/>
          <w:bCs/>
          <w:sz w:val="32"/>
          <w:szCs w:val="32"/>
          <w:highlight w:val="none"/>
          <w:lang w:eastAsia="zh-CN"/>
        </w:rPr>
        <w:t>：</w:t>
      </w:r>
      <w:r>
        <w:rPr>
          <w:rFonts w:hint="eastAsia" w:ascii="宋体" w:hAnsi="宋体" w:eastAsia="宋体" w:cs="宋体"/>
          <w:sz w:val="32"/>
          <w:szCs w:val="32"/>
          <w:highlight w:val="none"/>
        </w:rPr>
        <w:t>对于上级督办案件，要在规定期限内认真组织查处，并形成书面调查报告报送上一级人力资源社会保障部门。对于媒体反映造成较大影响的侵害劳动者权益案件、劳动保障违法行为引起的五十人以上严重群体性事件以及其他严重违反劳动保障法律案件，各市要在案发之日起2个工作日内、案件查处后5个工作日内向省人力资源社会保障厅书面报告情况。</w:t>
      </w:r>
    </w:p>
    <w:p>
      <w:pPr>
        <w:pStyle w:val="2"/>
        <w:rPr>
          <w:rFonts w:hint="eastAsia" w:ascii="宋体" w:hAnsi="宋体" w:eastAsia="宋体" w:cs="宋体"/>
          <w:sz w:val="32"/>
          <w:szCs w:val="32"/>
          <w:highlight w:val="none"/>
        </w:rPr>
      </w:pPr>
      <w:r>
        <w:rPr>
          <w:rFonts w:hint="eastAsia" w:ascii="宋体" w:hAnsi="宋体" w:eastAsia="宋体" w:cs="宋体"/>
          <w:b/>
          <w:bCs/>
          <w:sz w:val="32"/>
          <w:szCs w:val="32"/>
          <w:highlight w:val="none"/>
          <w:lang w:eastAsia="zh-CN"/>
        </w:rPr>
        <w:t>解析：</w:t>
      </w:r>
      <w:r>
        <w:rPr>
          <w:rFonts w:hint="eastAsia" w:ascii="宋体" w:hAnsi="宋体" w:eastAsia="宋体" w:cs="宋体"/>
          <w:sz w:val="32"/>
          <w:szCs w:val="32"/>
          <w:highlight w:val="none"/>
        </w:rPr>
        <w:t>《转发人力资源和社会保障部办公厅&lt;关于切实做好重大劳动保障违法案件查处工作的通知&gt;的通知》（鲁人社字〔2010〕25号）规定：对于上级督办案件，要在规定期限内认真组织查处，并形成书面调查报告报送上一级人力资源社会保障部门。对于媒体反映造成较大影响的侵害劳动者权益案件、劳动保障违法行为引起的五十人以上严重群体性事件以及其他严重违反劳动保障法律案件，各市要在案发之日起2个工作日内、案件查处后5个工作日内向省人力资源社会保障厅书面报告情况。</w:t>
      </w:r>
    </w:p>
    <w:p>
      <w:pPr>
        <w:pStyle w:val="19"/>
        <w:bidi w:val="0"/>
        <w:rPr>
          <w:rFonts w:hint="eastAsia"/>
          <w:sz w:val="32"/>
          <w:szCs w:val="32"/>
          <w:highlight w:val="none"/>
          <w:lang w:eastAsia="zh-CN"/>
        </w:rPr>
      </w:pPr>
      <w:r>
        <w:rPr>
          <w:rFonts w:hint="eastAsia"/>
          <w:sz w:val="32"/>
          <w:szCs w:val="32"/>
          <w:highlight w:val="none"/>
          <w:lang w:eastAsia="zh-CN"/>
        </w:rPr>
        <w:t>命题单位：执法监察局</w:t>
      </w:r>
    </w:p>
    <w:p>
      <w:pPr>
        <w:pStyle w:val="13"/>
        <w:numPr>
          <w:ilvl w:val="0"/>
          <w:numId w:val="3"/>
        </w:numPr>
        <w:bidi w:val="0"/>
        <w:ind w:left="23" w:leftChars="0" w:firstLine="400" w:firstLineChars="0"/>
        <w:rPr>
          <w:rFonts w:hint="eastAsia"/>
          <w:sz w:val="32"/>
          <w:szCs w:val="32"/>
          <w:highlight w:val="none"/>
          <w:lang w:val="en-US" w:eastAsia="zh-CN"/>
        </w:rPr>
      </w:pPr>
      <w:r>
        <w:rPr>
          <w:rFonts w:hint="eastAsia"/>
          <w:sz w:val="32"/>
          <w:szCs w:val="32"/>
          <w:highlight w:val="none"/>
          <w:lang w:val="en-US" w:eastAsia="zh-CN"/>
        </w:rPr>
        <w:t>什么是劳动保障监察？</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643" w:firstLineChars="200"/>
        <w:jc w:val="both"/>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lang w:val="en-US" w:eastAsia="zh-CN"/>
        </w:rPr>
        <w:t>答</w:t>
      </w:r>
      <w:r>
        <w:rPr>
          <w:rFonts w:hint="eastAsia" w:ascii="宋体" w:hAnsi="宋体" w:eastAsia="宋体" w:cs="宋体"/>
          <w:color w:val="auto"/>
          <w:sz w:val="32"/>
          <w:szCs w:val="32"/>
          <w:highlight w:val="none"/>
          <w:lang w:val="en-US" w:eastAsia="zh-CN"/>
        </w:rPr>
        <w:t>：</w:t>
      </w:r>
      <w:r>
        <w:rPr>
          <w:rFonts w:hint="eastAsia" w:ascii="宋体" w:hAnsi="宋体" w:eastAsia="宋体" w:cs="宋体"/>
          <w:color w:val="auto"/>
          <w:sz w:val="32"/>
          <w:szCs w:val="32"/>
          <w:highlight w:val="none"/>
        </w:rPr>
        <w:t>劳动和社会保障监察，是指县级以上人民政府人力资源社会保障行政部门依法对用人单位遵守劳动和社会保障法律、法规的情况进行监督检查，并对违法行为依法作出处理的行政执法活动。</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643" w:firstLineChars="200"/>
        <w:jc w:val="both"/>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lang w:val="en-US" w:eastAsia="zh-CN"/>
        </w:rPr>
        <w:t>解析</w:t>
      </w:r>
      <w:r>
        <w:rPr>
          <w:rFonts w:hint="eastAsia" w:ascii="宋体" w:hAnsi="宋体" w:eastAsia="宋体" w:cs="宋体"/>
          <w:color w:val="auto"/>
          <w:sz w:val="32"/>
          <w:szCs w:val="32"/>
          <w:highlight w:val="none"/>
          <w:lang w:eastAsia="zh-CN"/>
        </w:rPr>
        <w:t>：《</w:t>
      </w:r>
      <w:r>
        <w:rPr>
          <w:rFonts w:hint="eastAsia" w:ascii="宋体" w:hAnsi="宋体" w:eastAsia="宋体" w:cs="宋体"/>
          <w:b w:val="0"/>
          <w:bCs/>
          <w:color w:val="auto"/>
          <w:sz w:val="32"/>
          <w:szCs w:val="32"/>
          <w:highlight w:val="none"/>
        </w:rPr>
        <w:t>山东省劳动和社会保障监察条例</w:t>
      </w:r>
      <w:r>
        <w:rPr>
          <w:rFonts w:hint="eastAsia" w:ascii="宋体" w:hAnsi="宋体" w:eastAsia="宋体" w:cs="宋体"/>
          <w:color w:val="auto"/>
          <w:sz w:val="32"/>
          <w:szCs w:val="32"/>
          <w:highlight w:val="none"/>
          <w:lang w:eastAsia="zh-CN"/>
        </w:rPr>
        <w:t>》第三条</w:t>
      </w:r>
      <w:r>
        <w:rPr>
          <w:rFonts w:hint="eastAsia" w:ascii="宋体" w:hAnsi="宋体" w:eastAsia="宋体" w:cs="宋体"/>
          <w:color w:val="auto"/>
          <w:sz w:val="32"/>
          <w:szCs w:val="32"/>
          <w:highlight w:val="none"/>
          <w:lang w:val="en-US" w:eastAsia="zh-CN"/>
        </w:rPr>
        <w:t xml:space="preserve">  本条例所称</w:t>
      </w:r>
      <w:r>
        <w:rPr>
          <w:rFonts w:hint="eastAsia" w:ascii="宋体" w:hAnsi="宋体" w:eastAsia="宋体" w:cs="宋体"/>
          <w:color w:val="auto"/>
          <w:sz w:val="32"/>
          <w:szCs w:val="32"/>
          <w:highlight w:val="none"/>
        </w:rPr>
        <w:t>劳动和社会保障监察，是指县级以上人民政府人力资源社会保障行政部门依法对用人单位遵守劳动和社会保障法律、法规的情况进行监督检查，并对违法行为依法作出处理的行政执法活动。</w:t>
      </w:r>
    </w:p>
    <w:p>
      <w:pPr>
        <w:pStyle w:val="19"/>
        <w:bidi w:val="0"/>
        <w:rPr>
          <w:rFonts w:hint="eastAsia"/>
          <w:sz w:val="32"/>
          <w:szCs w:val="32"/>
          <w:highlight w:val="none"/>
          <w:lang w:eastAsia="zh-CN"/>
        </w:rPr>
      </w:pPr>
      <w:r>
        <w:rPr>
          <w:rFonts w:hint="eastAsia"/>
          <w:sz w:val="32"/>
          <w:szCs w:val="32"/>
          <w:highlight w:val="none"/>
          <w:lang w:eastAsia="zh-CN"/>
        </w:rPr>
        <w:t>命题单位：执法监察局</w:t>
      </w:r>
    </w:p>
    <w:p>
      <w:pPr>
        <w:pStyle w:val="13"/>
        <w:numPr>
          <w:ilvl w:val="0"/>
          <w:numId w:val="3"/>
        </w:numPr>
        <w:bidi w:val="0"/>
        <w:ind w:left="23" w:leftChars="0" w:firstLine="400" w:firstLineChars="0"/>
        <w:rPr>
          <w:rFonts w:hint="eastAsia"/>
          <w:sz w:val="32"/>
          <w:szCs w:val="32"/>
          <w:highlight w:val="none"/>
          <w:lang w:val="en-US" w:eastAsia="zh-CN"/>
        </w:rPr>
      </w:pPr>
      <w:r>
        <w:rPr>
          <w:rFonts w:hint="eastAsia"/>
          <w:sz w:val="32"/>
          <w:szCs w:val="32"/>
          <w:highlight w:val="none"/>
          <w:lang w:val="en-US" w:eastAsia="zh-CN"/>
        </w:rPr>
        <w:t>保障农民工工资支付的总体要求是什么？</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643" w:firstLineChars="200"/>
        <w:jc w:val="both"/>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lang w:val="en-US" w:eastAsia="zh-CN"/>
        </w:rPr>
        <w:t>答</w:t>
      </w:r>
      <w:r>
        <w:rPr>
          <w:rFonts w:hint="eastAsia" w:ascii="宋体" w:hAnsi="宋体" w:eastAsia="宋体" w:cs="宋体"/>
          <w:color w:val="auto"/>
          <w:sz w:val="32"/>
          <w:szCs w:val="32"/>
          <w:highlight w:val="none"/>
          <w:lang w:val="en-US" w:eastAsia="zh-CN"/>
        </w:rPr>
        <w:t>：</w:t>
      </w:r>
      <w:r>
        <w:rPr>
          <w:rFonts w:hint="eastAsia" w:ascii="宋体" w:hAnsi="宋体" w:eastAsia="宋体" w:cs="宋体"/>
          <w:color w:val="auto"/>
          <w:sz w:val="32"/>
          <w:szCs w:val="32"/>
          <w:highlight w:val="none"/>
        </w:rPr>
        <w:t>保障农民工工资支付，应当坚持市场主体负责、政府依法监管、社会协同监督，按照源头治理、预防为主、防治结合、标本兼治的要求，依法根治拖欠农民工工资问题。</w:t>
      </w:r>
    </w:p>
    <w:p>
      <w:pPr>
        <w:pStyle w:val="8"/>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sz w:val="32"/>
          <w:szCs w:val="32"/>
          <w:highlight w:val="none"/>
          <w:lang w:eastAsia="zh-CN"/>
        </w:rPr>
      </w:pPr>
      <w:r>
        <w:rPr>
          <w:rFonts w:hint="eastAsia" w:ascii="宋体" w:hAnsi="宋体" w:eastAsia="宋体" w:cs="宋体"/>
          <w:b/>
          <w:bCs/>
          <w:color w:val="auto"/>
          <w:sz w:val="32"/>
          <w:szCs w:val="32"/>
          <w:highlight w:val="none"/>
          <w:lang w:val="en-US" w:eastAsia="zh-CN"/>
        </w:rPr>
        <w:t>解析：</w:t>
      </w:r>
      <w:r>
        <w:rPr>
          <w:rFonts w:hint="eastAsia" w:ascii="宋体" w:hAnsi="宋体" w:eastAsia="宋体" w:cs="宋体"/>
          <w:color w:val="auto"/>
          <w:sz w:val="32"/>
          <w:szCs w:val="32"/>
          <w:highlight w:val="none"/>
          <w:lang w:eastAsia="zh-CN"/>
        </w:rPr>
        <w:t>《保障农民工工资支付条例》第五条</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保障农民工工资支付，应当坚持市场主体负责、政府依法监管、社会协同监督，按照源头治理、预防为主、防治结合、标本兼治的要求，依法根治拖欠农民工工资问题。</w:t>
      </w:r>
    </w:p>
    <w:p>
      <w:pPr>
        <w:pStyle w:val="19"/>
        <w:bidi w:val="0"/>
        <w:rPr>
          <w:rFonts w:hint="eastAsia"/>
          <w:sz w:val="32"/>
          <w:szCs w:val="32"/>
          <w:highlight w:val="none"/>
          <w:lang w:eastAsia="zh-CN"/>
        </w:rPr>
      </w:pPr>
      <w:r>
        <w:rPr>
          <w:rFonts w:hint="eastAsia"/>
          <w:sz w:val="32"/>
          <w:szCs w:val="32"/>
          <w:highlight w:val="none"/>
          <w:lang w:eastAsia="zh-CN"/>
        </w:rPr>
        <w:t>命题单位：执法监察局</w:t>
      </w:r>
    </w:p>
    <w:p>
      <w:pPr>
        <w:pStyle w:val="13"/>
        <w:numPr>
          <w:ilvl w:val="0"/>
          <w:numId w:val="3"/>
        </w:numPr>
        <w:bidi w:val="0"/>
        <w:ind w:left="23" w:leftChars="0" w:firstLine="400" w:firstLineChars="0"/>
        <w:rPr>
          <w:rFonts w:hint="eastAsia" w:ascii="宋体" w:hAnsi="宋体" w:eastAsia="宋体" w:cs="宋体"/>
          <w:sz w:val="32"/>
          <w:szCs w:val="32"/>
          <w:highlight w:val="none"/>
        </w:rPr>
      </w:pPr>
      <w:r>
        <w:rPr>
          <w:rFonts w:hint="eastAsia"/>
          <w:sz w:val="32"/>
          <w:szCs w:val="32"/>
          <w:highlight w:val="none"/>
          <w:lang w:val="en-US" w:eastAsia="zh-CN"/>
        </w:rPr>
        <w:t>用人单位合并或者分立时，应如何清偿拖欠的农民工工资？</w:t>
      </w:r>
    </w:p>
    <w:p>
      <w:pPr>
        <w:pStyle w:val="13"/>
        <w:numPr>
          <w:ilvl w:val="0"/>
          <w:numId w:val="0"/>
        </w:numPr>
        <w:bidi w:val="0"/>
        <w:ind w:firstLine="643" w:firstLineChars="200"/>
        <w:rPr>
          <w:rFonts w:hint="eastAsia" w:ascii="宋体" w:hAnsi="宋体" w:eastAsia="宋体" w:cs="宋体"/>
          <w:color w:val="333333"/>
          <w:sz w:val="32"/>
          <w:szCs w:val="32"/>
          <w:highlight w:val="none"/>
        </w:rPr>
      </w:pPr>
      <w:r>
        <w:rPr>
          <w:rFonts w:hint="eastAsia" w:ascii="宋体" w:hAnsi="宋体" w:eastAsia="宋体" w:cs="宋体"/>
          <w:b/>
          <w:bCs/>
          <w:color w:val="auto"/>
          <w:sz w:val="32"/>
          <w:szCs w:val="32"/>
          <w:highlight w:val="none"/>
          <w:lang w:val="en-US" w:eastAsia="zh-CN"/>
        </w:rPr>
        <w:t>答</w:t>
      </w:r>
      <w:r>
        <w:rPr>
          <w:rFonts w:hint="eastAsia" w:ascii="宋体" w:hAnsi="宋体" w:eastAsia="宋体" w:cs="宋体"/>
          <w:color w:val="auto"/>
          <w:sz w:val="32"/>
          <w:szCs w:val="32"/>
          <w:highlight w:val="none"/>
          <w:lang w:val="en-US" w:eastAsia="zh-CN"/>
        </w:rPr>
        <w:t>：</w:t>
      </w:r>
      <w:r>
        <w:rPr>
          <w:rFonts w:hint="eastAsia" w:ascii="宋体" w:hAnsi="宋体" w:eastAsia="宋体" w:cs="宋体"/>
          <w:color w:val="333333"/>
          <w:sz w:val="32"/>
          <w:szCs w:val="32"/>
          <w:highlight w:val="none"/>
        </w:rPr>
        <w:t>用人单位合并或者分立时，应当在实施合并或者分立前依法清偿拖欠的农民工工资；经与农民工书面协商一致的，可以由合并或者分立后承继其权利和义务的用人单位清偿。</w:t>
      </w:r>
    </w:p>
    <w:p>
      <w:pPr>
        <w:pStyle w:val="13"/>
        <w:numPr>
          <w:ilvl w:val="0"/>
          <w:numId w:val="0"/>
        </w:numPr>
        <w:bidi w:val="0"/>
        <w:ind w:firstLine="643"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解析：</w:t>
      </w:r>
      <w:r>
        <w:rPr>
          <w:rFonts w:hint="eastAsia" w:ascii="宋体" w:hAnsi="宋体" w:eastAsia="宋体" w:cs="宋体"/>
          <w:color w:val="auto"/>
          <w:sz w:val="32"/>
          <w:szCs w:val="32"/>
          <w:highlight w:val="none"/>
          <w:lang w:eastAsia="zh-CN"/>
        </w:rPr>
        <w:t>《保障农民工工资支付条例》第二十一条</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333333"/>
          <w:sz w:val="32"/>
          <w:szCs w:val="32"/>
          <w:highlight w:val="none"/>
        </w:rPr>
        <w:t>用人单位合并或者分立时，应当在实</w:t>
      </w:r>
      <w:r>
        <w:rPr>
          <w:rFonts w:hint="eastAsia" w:ascii="宋体" w:hAnsi="宋体" w:eastAsia="宋体" w:cs="宋体"/>
          <w:color w:val="auto"/>
          <w:sz w:val="32"/>
          <w:szCs w:val="32"/>
          <w:highlight w:val="none"/>
        </w:rPr>
        <w:t>施合并或者分立前依法清偿拖欠的农民工工资；经与农民工书面协商一致的，可以由合并或者分立后承继其权利和义务的用人单位清偿。</w:t>
      </w:r>
    </w:p>
    <w:p>
      <w:pPr>
        <w:pStyle w:val="19"/>
        <w:bidi w:val="0"/>
        <w:rPr>
          <w:rFonts w:hint="eastAsia"/>
          <w:sz w:val="32"/>
          <w:szCs w:val="32"/>
          <w:highlight w:val="none"/>
          <w:lang w:eastAsia="zh-CN"/>
        </w:rPr>
      </w:pPr>
      <w:r>
        <w:rPr>
          <w:rFonts w:hint="eastAsia"/>
          <w:sz w:val="32"/>
          <w:szCs w:val="32"/>
          <w:highlight w:val="none"/>
          <w:lang w:eastAsia="zh-CN"/>
        </w:rPr>
        <w:t>命题单位：执法监察局</w:t>
      </w:r>
    </w:p>
    <w:p>
      <w:pPr>
        <w:pStyle w:val="13"/>
        <w:numPr>
          <w:ilvl w:val="0"/>
          <w:numId w:val="3"/>
        </w:numPr>
        <w:bidi w:val="0"/>
        <w:ind w:left="23" w:leftChars="0" w:firstLine="400" w:firstLineChars="0"/>
        <w:rPr>
          <w:rFonts w:hint="eastAsia" w:ascii="宋体" w:hAnsi="宋体" w:eastAsia="宋体" w:cs="宋体"/>
          <w:color w:val="auto"/>
          <w:sz w:val="32"/>
          <w:szCs w:val="32"/>
          <w:highlight w:val="none"/>
        </w:rPr>
      </w:pPr>
      <w:r>
        <w:rPr>
          <w:rFonts w:hint="eastAsia"/>
          <w:sz w:val="32"/>
          <w:szCs w:val="32"/>
          <w:highlight w:val="none"/>
        </w:rPr>
        <w:t>用人单位被依法吊销营业执照或者登记证书、被责令关闭、被撤销或者依法解散的</w:t>
      </w:r>
      <w:r>
        <w:rPr>
          <w:rFonts w:hint="eastAsia"/>
          <w:sz w:val="32"/>
          <w:szCs w:val="32"/>
          <w:highlight w:val="none"/>
          <w:lang w:eastAsia="zh-CN"/>
        </w:rPr>
        <w:t>，</w:t>
      </w:r>
      <w:r>
        <w:rPr>
          <w:rFonts w:hint="eastAsia"/>
          <w:sz w:val="32"/>
          <w:szCs w:val="32"/>
          <w:highlight w:val="none"/>
          <w:lang w:val="en-US" w:eastAsia="zh-CN"/>
        </w:rPr>
        <w:t>应如何清偿拖欠的农民工工资？</w:t>
      </w:r>
    </w:p>
    <w:p>
      <w:pPr>
        <w:pStyle w:val="13"/>
        <w:numPr>
          <w:ilvl w:val="0"/>
          <w:numId w:val="0"/>
        </w:numPr>
        <w:bidi w:val="0"/>
        <w:ind w:firstLine="643" w:firstLineChars="200"/>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lang w:eastAsia="zh-CN"/>
        </w:rPr>
        <w:t>答：</w:t>
      </w:r>
      <w:r>
        <w:rPr>
          <w:rFonts w:hint="eastAsia" w:ascii="宋体" w:hAnsi="宋体" w:eastAsia="宋体" w:cs="宋体"/>
          <w:color w:val="auto"/>
          <w:sz w:val="32"/>
          <w:szCs w:val="32"/>
          <w:highlight w:val="none"/>
        </w:rPr>
        <w:t>用人单位被依法吊销营业执照或者登记证书、被责令关闭、被撤销或者依法解散的，应当在申请注销登记前依法清偿拖欠的农民工工资。未依据</w:t>
      </w:r>
      <w:r>
        <w:rPr>
          <w:rFonts w:hint="eastAsia" w:ascii="宋体" w:hAnsi="宋体" w:eastAsia="宋体" w:cs="宋体"/>
          <w:color w:val="auto"/>
          <w:sz w:val="32"/>
          <w:szCs w:val="32"/>
          <w:highlight w:val="none"/>
          <w:lang w:eastAsia="zh-CN"/>
        </w:rPr>
        <w:t>前述</w:t>
      </w:r>
      <w:r>
        <w:rPr>
          <w:rFonts w:hint="eastAsia" w:ascii="宋体" w:hAnsi="宋体" w:eastAsia="宋体" w:cs="宋体"/>
          <w:color w:val="auto"/>
          <w:sz w:val="32"/>
          <w:szCs w:val="32"/>
          <w:highlight w:val="none"/>
        </w:rPr>
        <w:t>规定清偿农民工工资的用人单位主要出资人，应当在注册新用人单位前清偿拖欠的农民工工资。</w:t>
      </w:r>
    </w:p>
    <w:p>
      <w:pPr>
        <w:pStyle w:val="13"/>
        <w:numPr>
          <w:ilvl w:val="0"/>
          <w:numId w:val="0"/>
        </w:numPr>
        <w:bidi w:val="0"/>
        <w:ind w:firstLine="643" w:firstLineChars="200"/>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lang w:eastAsia="zh-CN"/>
        </w:rPr>
        <w:t>解析</w:t>
      </w:r>
      <w:r>
        <w:rPr>
          <w:rFonts w:hint="eastAsia" w:ascii="宋体" w:hAnsi="宋体" w:eastAsia="宋体" w:cs="宋体"/>
          <w:color w:val="auto"/>
          <w:sz w:val="32"/>
          <w:szCs w:val="32"/>
          <w:highlight w:val="none"/>
          <w:lang w:eastAsia="zh-CN"/>
        </w:rPr>
        <w:t>：《保障农民工工资支付条例》第二十二条</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用人单位被依法吊销营业执照或者登记证书、被责令关闭、被撤销或者依法解散的，应当在申请注销登记前依法清偿拖欠的农民工工资。未依据</w:t>
      </w:r>
      <w:r>
        <w:rPr>
          <w:rFonts w:hint="eastAsia" w:ascii="宋体" w:hAnsi="宋体" w:eastAsia="宋体" w:cs="宋体"/>
          <w:color w:val="auto"/>
          <w:sz w:val="32"/>
          <w:szCs w:val="32"/>
          <w:highlight w:val="none"/>
          <w:lang w:eastAsia="zh-CN"/>
        </w:rPr>
        <w:t>前款</w:t>
      </w:r>
      <w:r>
        <w:rPr>
          <w:rFonts w:hint="eastAsia" w:ascii="宋体" w:hAnsi="宋体" w:eastAsia="宋体" w:cs="宋体"/>
          <w:color w:val="auto"/>
          <w:sz w:val="32"/>
          <w:szCs w:val="32"/>
          <w:highlight w:val="none"/>
        </w:rPr>
        <w:t>规定清偿农民工工资的用人单位主要出资人，应当在注册新用人单位前清偿拖欠的农民工工资。</w:t>
      </w:r>
    </w:p>
    <w:p>
      <w:pPr>
        <w:pStyle w:val="19"/>
        <w:bidi w:val="0"/>
        <w:rPr>
          <w:rFonts w:hint="eastAsia"/>
          <w:sz w:val="32"/>
          <w:szCs w:val="32"/>
          <w:highlight w:val="none"/>
          <w:lang w:eastAsia="zh-CN"/>
        </w:rPr>
      </w:pPr>
      <w:r>
        <w:rPr>
          <w:rFonts w:hint="eastAsia"/>
          <w:sz w:val="32"/>
          <w:szCs w:val="32"/>
          <w:highlight w:val="none"/>
          <w:lang w:eastAsia="zh-CN"/>
        </w:rPr>
        <w:t>命题单位：执法监察局</w:t>
      </w:r>
    </w:p>
    <w:p>
      <w:pPr>
        <w:pStyle w:val="13"/>
        <w:numPr>
          <w:ilvl w:val="0"/>
          <w:numId w:val="3"/>
        </w:numPr>
        <w:bidi w:val="0"/>
        <w:ind w:left="23" w:leftChars="0" w:firstLine="400" w:firstLineChars="0"/>
        <w:rPr>
          <w:rFonts w:hint="eastAsia"/>
          <w:sz w:val="32"/>
          <w:szCs w:val="32"/>
          <w:highlight w:val="none"/>
          <w:lang w:eastAsia="zh-CN"/>
        </w:rPr>
      </w:pPr>
      <w:r>
        <w:rPr>
          <w:rFonts w:hint="eastAsia"/>
          <w:sz w:val="32"/>
          <w:szCs w:val="32"/>
          <w:highlight w:val="none"/>
          <w:lang w:eastAsia="zh-CN"/>
        </w:rPr>
        <w:t>《保障农民工工资支付条例》对施工现场维权信息公示制度有哪些规定？</w:t>
      </w:r>
    </w:p>
    <w:p>
      <w:pPr>
        <w:pStyle w:val="2"/>
        <w:bidi w:val="0"/>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答：</w:t>
      </w:r>
      <w:r>
        <w:rPr>
          <w:rFonts w:hint="eastAsia" w:ascii="宋体" w:hAnsi="宋体" w:eastAsia="宋体" w:cs="宋体"/>
          <w:color w:val="auto"/>
          <w:kern w:val="2"/>
          <w:sz w:val="32"/>
          <w:szCs w:val="32"/>
          <w:highlight w:val="none"/>
          <w:lang w:val="en-US" w:eastAsia="zh-CN" w:bidi="ar-SA"/>
        </w:rPr>
        <w:t>施工总承包单位应当在施工现场醒目位置设立维权信息告示牌，明示下列事项：（一）建设单位、施工总承包单位及所在项目部、分包单位、相关行业工程建设主管部门、劳资专管员等基本信息；（二）当地最低工资标准、工资支付日期等基本信息；（三）相关行业工程建设主管部门和劳动保障监察投诉举报电话、劳动争议调解仲裁申请渠道、法律援助申请渠道、公共法律服务热线等信息。</w:t>
      </w:r>
    </w:p>
    <w:p>
      <w:pPr>
        <w:pStyle w:val="2"/>
        <w:bidi w:val="0"/>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解析：</w:t>
      </w:r>
      <w:r>
        <w:rPr>
          <w:rFonts w:hint="eastAsia" w:ascii="宋体" w:hAnsi="宋体" w:eastAsia="宋体" w:cs="宋体"/>
          <w:color w:val="auto"/>
          <w:kern w:val="2"/>
          <w:sz w:val="32"/>
          <w:szCs w:val="32"/>
          <w:highlight w:val="none"/>
          <w:lang w:val="en-US" w:eastAsia="zh-CN" w:bidi="ar-SA"/>
        </w:rPr>
        <w:t>《保障农民工工资支付条例》第三十四条  施工总承包单位应当在施工现场醒目位置设立维权信息告示牌，明示下列事项：（一）建设单位、施工总承包单位及所在项目部、分包单位、相关行业工程建设主管部门、劳资专管员等基本信息；（二）当地最低工资标准、工资支付日期等基本信息；（三）相关行业工程建设主管部门和劳动保障监察投诉举报电话、劳动争议调解仲裁申请渠道、法律援助申请渠道、公共法律服务热线等信息。</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640" w:firstLineChars="200"/>
        <w:jc w:val="both"/>
        <w:textAlignment w:val="auto"/>
        <w:rPr>
          <w:rFonts w:hint="eastAsia" w:ascii="宋体" w:hAnsi="宋体" w:eastAsia="宋体" w:cs="宋体"/>
          <w:color w:val="auto"/>
          <w:sz w:val="32"/>
          <w:szCs w:val="32"/>
          <w:highlight w:val="none"/>
        </w:rPr>
      </w:pP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640" w:firstLineChars="200"/>
        <w:jc w:val="both"/>
        <w:textAlignment w:val="auto"/>
        <w:rPr>
          <w:rFonts w:hint="eastAsia" w:ascii="宋体" w:hAnsi="宋体" w:eastAsia="宋体" w:cs="宋体"/>
          <w:color w:val="auto"/>
          <w:sz w:val="32"/>
          <w:szCs w:val="32"/>
          <w:highlight w:val="none"/>
        </w:rPr>
      </w:pP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640" w:firstLineChars="200"/>
        <w:jc w:val="both"/>
        <w:textAlignment w:val="auto"/>
        <w:rPr>
          <w:rFonts w:hint="eastAsia" w:ascii="宋体" w:hAnsi="宋体" w:eastAsia="宋体" w:cs="宋体"/>
          <w:color w:val="auto"/>
          <w:sz w:val="32"/>
          <w:szCs w:val="32"/>
          <w:highlight w:val="none"/>
        </w:rPr>
      </w:pP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640" w:firstLineChars="200"/>
        <w:jc w:val="both"/>
        <w:textAlignment w:val="auto"/>
        <w:rPr>
          <w:rFonts w:hint="eastAsia" w:ascii="宋体" w:hAnsi="宋体" w:eastAsia="宋体" w:cs="宋体"/>
          <w:color w:val="auto"/>
          <w:sz w:val="32"/>
          <w:szCs w:val="32"/>
          <w:highlight w:val="none"/>
        </w:rPr>
      </w:pP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640" w:firstLineChars="200"/>
        <w:jc w:val="both"/>
        <w:textAlignment w:val="auto"/>
        <w:rPr>
          <w:rFonts w:hint="eastAsia" w:ascii="宋体" w:hAnsi="宋体" w:eastAsia="宋体" w:cs="宋体"/>
          <w:color w:val="auto"/>
          <w:sz w:val="32"/>
          <w:szCs w:val="32"/>
          <w:highlight w:val="none"/>
        </w:rPr>
      </w:pP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640" w:firstLineChars="200"/>
        <w:jc w:val="both"/>
        <w:textAlignment w:val="auto"/>
        <w:rPr>
          <w:rFonts w:hint="eastAsia" w:ascii="宋体" w:hAnsi="宋体" w:eastAsia="宋体" w:cs="宋体"/>
          <w:color w:val="auto"/>
          <w:sz w:val="32"/>
          <w:szCs w:val="32"/>
          <w:highlight w:val="none"/>
        </w:rPr>
      </w:pPr>
    </w:p>
    <w:p>
      <w:pPr>
        <w:jc w:val="center"/>
        <w:rPr>
          <w:rFonts w:hint="eastAsia" w:ascii="Cambria" w:hAnsi="Cambria" w:eastAsia="楷体_GB2312" w:cs="Times New Roman"/>
          <w:bCs/>
          <w:color w:val="auto"/>
          <w:kern w:val="2"/>
          <w:sz w:val="32"/>
          <w:szCs w:val="32"/>
          <w:highlight w:val="none"/>
          <w:lang w:val="en-US" w:eastAsia="zh-CN" w:bidi="ar-SA"/>
        </w:rPr>
      </w:pPr>
      <w:r>
        <w:rPr>
          <w:rFonts w:hint="eastAsia" w:ascii="Cambria" w:hAnsi="Cambria" w:eastAsia="楷体_GB2312" w:cs="Times New Roman"/>
          <w:bCs/>
          <w:color w:val="auto"/>
          <w:kern w:val="2"/>
          <w:sz w:val="32"/>
          <w:szCs w:val="32"/>
          <w:highlight w:val="none"/>
          <w:lang w:val="en-US" w:eastAsia="zh-CN" w:bidi="ar-SA"/>
        </w:rPr>
        <w:t>（五）人事人才</w:t>
      </w:r>
    </w:p>
    <w:p>
      <w:pPr>
        <w:widowControl/>
        <w:numPr>
          <w:ilvl w:val="0"/>
          <w:numId w:val="0"/>
        </w:numPr>
        <w:ind w:firstLine="640" w:firstLineChars="200"/>
        <w:jc w:val="left"/>
        <w:rPr>
          <w:rFonts w:hint="eastAsia" w:ascii="黑体" w:hAnsi="黑体" w:eastAsia="黑体" w:cs="Times New Roman"/>
          <w:sz w:val="32"/>
          <w:szCs w:val="32"/>
          <w:highlight w:val="none"/>
        </w:rPr>
      </w:pPr>
    </w:p>
    <w:p>
      <w:pPr>
        <w:pStyle w:val="19"/>
        <w:tabs>
          <w:tab w:val="left" w:pos="2310"/>
          <w:tab w:val="left" w:pos="4200"/>
          <w:tab w:val="left" w:pos="6090"/>
        </w:tabs>
        <w:spacing w:before="156"/>
        <w:ind w:firstLine="420"/>
        <w:rPr>
          <w:rFonts w:hint="eastAsia"/>
          <w:color w:val="auto"/>
          <w:sz w:val="32"/>
          <w:szCs w:val="32"/>
          <w:highlight w:val="none"/>
        </w:rPr>
      </w:pPr>
      <w:r>
        <w:rPr>
          <w:rFonts w:hint="eastAsia"/>
          <w:color w:val="auto"/>
          <w:sz w:val="32"/>
          <w:szCs w:val="32"/>
          <w:highlight w:val="none"/>
        </w:rPr>
        <w:t>命题单位：人才开发处</w:t>
      </w:r>
    </w:p>
    <w:p>
      <w:pPr>
        <w:pStyle w:val="13"/>
        <w:numPr>
          <w:ilvl w:val="0"/>
          <w:numId w:val="3"/>
        </w:numPr>
        <w:bidi w:val="0"/>
        <w:ind w:left="23" w:leftChars="0" w:firstLine="400" w:firstLineChars="0"/>
        <w:rPr>
          <w:sz w:val="32"/>
          <w:szCs w:val="32"/>
          <w:highlight w:val="none"/>
        </w:rPr>
      </w:pPr>
      <w:r>
        <w:rPr>
          <w:rFonts w:hint="eastAsia"/>
          <w:sz w:val="32"/>
          <w:szCs w:val="32"/>
          <w:highlight w:val="none"/>
        </w:rPr>
        <w:t>《山东省人才发展促进条例》规定，县级以上人民政府应当采取措施，吸引、集聚、支持青年人才，加快青年人才的培养、开发，并按照规定职责重点做好哪些工作？</w:t>
      </w:r>
    </w:p>
    <w:p>
      <w:pPr>
        <w:widowControl/>
        <w:ind w:firstLine="422"/>
        <w:jc w:val="left"/>
        <w:rPr>
          <w:rFonts w:eastAsia="宋体" w:cs="Times New Roman"/>
          <w:color w:val="auto"/>
          <w:sz w:val="32"/>
          <w:szCs w:val="32"/>
          <w:highlight w:val="none"/>
        </w:rPr>
      </w:pPr>
      <w:r>
        <w:rPr>
          <w:rFonts w:hint="eastAsia" w:eastAsia="宋体" w:cs="Times New Roman"/>
          <w:b/>
          <w:bCs/>
          <w:color w:val="auto"/>
          <w:sz w:val="32"/>
          <w:szCs w:val="32"/>
          <w:highlight w:val="none"/>
        </w:rPr>
        <w:t>答</w:t>
      </w:r>
      <w:r>
        <w:rPr>
          <w:rFonts w:hint="eastAsia" w:eastAsia="宋体" w:cs="Times New Roman"/>
          <w:color w:val="auto"/>
          <w:sz w:val="32"/>
          <w:szCs w:val="32"/>
          <w:highlight w:val="none"/>
        </w:rPr>
        <w:t>：（一）在专家遴选、科技表彰、自然科学基金使用中向青年创新人才倾斜，并合理提高青年创新人才的占比；</w:t>
      </w:r>
    </w:p>
    <w:p>
      <w:pPr>
        <w:widowControl/>
        <w:ind w:firstLine="420"/>
        <w:jc w:val="left"/>
        <w:rPr>
          <w:rFonts w:eastAsia="宋体" w:cs="Times New Roman"/>
          <w:color w:val="auto"/>
          <w:sz w:val="32"/>
          <w:szCs w:val="32"/>
          <w:highlight w:val="none"/>
        </w:rPr>
      </w:pPr>
      <w:r>
        <w:rPr>
          <w:rFonts w:hint="eastAsia" w:eastAsia="宋体" w:cs="Times New Roman"/>
          <w:color w:val="auto"/>
          <w:sz w:val="32"/>
          <w:szCs w:val="32"/>
          <w:highlight w:val="none"/>
        </w:rPr>
        <w:t>（二）在政府财政支持的人才工程中适当安排一定比例的青年人才名额；</w:t>
      </w:r>
    </w:p>
    <w:p>
      <w:pPr>
        <w:widowControl/>
        <w:ind w:firstLine="420"/>
        <w:jc w:val="left"/>
        <w:rPr>
          <w:rFonts w:eastAsia="宋体" w:cs="Times New Roman"/>
          <w:color w:val="auto"/>
          <w:sz w:val="32"/>
          <w:szCs w:val="32"/>
          <w:highlight w:val="none"/>
        </w:rPr>
      </w:pPr>
      <w:r>
        <w:rPr>
          <w:rFonts w:hint="eastAsia" w:eastAsia="宋体" w:cs="Times New Roman"/>
          <w:color w:val="auto"/>
          <w:sz w:val="32"/>
          <w:szCs w:val="32"/>
          <w:highlight w:val="none"/>
        </w:rPr>
        <w:t>（三）定期选派一定数量的中青年教师、科研人员、医务工作者、法治工作者以及经营管理人员等到国（境）外进修；</w:t>
      </w:r>
    </w:p>
    <w:p>
      <w:pPr>
        <w:widowControl/>
        <w:ind w:firstLine="420"/>
        <w:jc w:val="left"/>
        <w:rPr>
          <w:rFonts w:eastAsia="宋体" w:cs="Times New Roman"/>
          <w:color w:val="auto"/>
          <w:sz w:val="32"/>
          <w:szCs w:val="32"/>
          <w:highlight w:val="none"/>
        </w:rPr>
      </w:pPr>
      <w:r>
        <w:rPr>
          <w:rFonts w:hint="eastAsia" w:eastAsia="宋体" w:cs="Times New Roman"/>
          <w:color w:val="auto"/>
          <w:sz w:val="32"/>
          <w:szCs w:val="32"/>
          <w:highlight w:val="none"/>
        </w:rPr>
        <w:t>（四）资助青年博士生等优秀青年人才进行国际学术交流；</w:t>
      </w:r>
    </w:p>
    <w:p>
      <w:pPr>
        <w:widowControl/>
        <w:ind w:firstLine="420"/>
        <w:jc w:val="left"/>
        <w:rPr>
          <w:rFonts w:eastAsia="宋体" w:cs="Times New Roman"/>
          <w:color w:val="auto"/>
          <w:sz w:val="32"/>
          <w:szCs w:val="32"/>
          <w:highlight w:val="none"/>
        </w:rPr>
      </w:pPr>
      <w:r>
        <w:rPr>
          <w:rFonts w:hint="eastAsia" w:eastAsia="宋体" w:cs="Times New Roman"/>
          <w:color w:val="auto"/>
          <w:sz w:val="32"/>
          <w:szCs w:val="32"/>
          <w:highlight w:val="none"/>
        </w:rPr>
        <w:t>（五）支持高等学校、科研机构围绕重大战略、重大工程、重大项目、重点任务，选派优秀青年人才到基层人民政府或者企业挂职。</w:t>
      </w:r>
    </w:p>
    <w:p>
      <w:pPr>
        <w:ind w:firstLine="422"/>
        <w:rPr>
          <w:rFonts w:eastAsia="宋体" w:cs="Times New Roman"/>
          <w:color w:val="auto"/>
          <w:sz w:val="32"/>
          <w:szCs w:val="32"/>
          <w:highlight w:val="none"/>
        </w:rPr>
      </w:pPr>
      <w:r>
        <w:rPr>
          <w:rFonts w:hint="eastAsia" w:eastAsia="宋体" w:cs="Times New Roman"/>
          <w:b/>
          <w:bCs/>
          <w:color w:val="auto"/>
          <w:sz w:val="32"/>
          <w:szCs w:val="32"/>
          <w:highlight w:val="none"/>
        </w:rPr>
        <w:t>解析</w:t>
      </w:r>
      <w:r>
        <w:rPr>
          <w:rFonts w:hint="eastAsia" w:eastAsia="宋体" w:cs="Times New Roman"/>
          <w:color w:val="auto"/>
          <w:sz w:val="32"/>
          <w:szCs w:val="32"/>
          <w:highlight w:val="none"/>
        </w:rPr>
        <w:t>：《山东省人才发展促进条例》第十九条：县级以上人民政府应当采取措施，吸引、集聚、支持青年人才，加快青年人才的培养、开发，并按照规定职责重点做好下列工作：</w:t>
      </w:r>
    </w:p>
    <w:p>
      <w:pPr>
        <w:ind w:firstLine="420"/>
        <w:rPr>
          <w:rFonts w:eastAsia="宋体" w:cs="Times New Roman"/>
          <w:color w:val="auto"/>
          <w:sz w:val="32"/>
          <w:szCs w:val="32"/>
          <w:highlight w:val="none"/>
        </w:rPr>
      </w:pPr>
      <w:r>
        <w:rPr>
          <w:rFonts w:hint="eastAsia" w:eastAsia="宋体" w:cs="Times New Roman"/>
          <w:color w:val="auto"/>
          <w:sz w:val="32"/>
          <w:szCs w:val="32"/>
          <w:highlight w:val="none"/>
        </w:rPr>
        <w:t>（一）在专家遴选、科技表彰、自然科学基金使用中向青年创新人才倾斜，并合理提高青年创新人才的占比；</w:t>
      </w:r>
    </w:p>
    <w:p>
      <w:pPr>
        <w:ind w:firstLine="420"/>
        <w:rPr>
          <w:rFonts w:eastAsia="宋体" w:cs="Times New Roman"/>
          <w:color w:val="auto"/>
          <w:sz w:val="32"/>
          <w:szCs w:val="32"/>
          <w:highlight w:val="none"/>
        </w:rPr>
      </w:pPr>
      <w:r>
        <w:rPr>
          <w:rFonts w:hint="eastAsia" w:eastAsia="宋体" w:cs="Times New Roman"/>
          <w:color w:val="auto"/>
          <w:sz w:val="32"/>
          <w:szCs w:val="32"/>
          <w:highlight w:val="none"/>
        </w:rPr>
        <w:t>（二）在政府财政支持的人才工程中适当安排一定比例的青年人才名额；</w:t>
      </w:r>
    </w:p>
    <w:p>
      <w:pPr>
        <w:ind w:firstLine="420"/>
        <w:rPr>
          <w:rFonts w:eastAsia="宋体" w:cs="Times New Roman"/>
          <w:color w:val="auto"/>
          <w:sz w:val="32"/>
          <w:szCs w:val="32"/>
          <w:highlight w:val="none"/>
        </w:rPr>
      </w:pPr>
      <w:r>
        <w:rPr>
          <w:rFonts w:hint="eastAsia" w:eastAsia="宋体" w:cs="Times New Roman"/>
          <w:color w:val="auto"/>
          <w:sz w:val="32"/>
          <w:szCs w:val="32"/>
          <w:highlight w:val="none"/>
        </w:rPr>
        <w:t>（三）定期选派一定数量的中青年教师、科研人员、医务工作者、法治工作者以及经营管理人员等到国（境）外进修；</w:t>
      </w:r>
    </w:p>
    <w:p>
      <w:pPr>
        <w:ind w:firstLine="420"/>
        <w:rPr>
          <w:rFonts w:eastAsia="宋体" w:cs="Times New Roman"/>
          <w:color w:val="auto"/>
          <w:sz w:val="32"/>
          <w:szCs w:val="32"/>
          <w:highlight w:val="none"/>
        </w:rPr>
      </w:pPr>
      <w:r>
        <w:rPr>
          <w:rFonts w:hint="eastAsia" w:eastAsia="宋体" w:cs="Times New Roman"/>
          <w:color w:val="auto"/>
          <w:sz w:val="32"/>
          <w:szCs w:val="32"/>
          <w:highlight w:val="none"/>
        </w:rPr>
        <w:t>（四）资助青年博士生等优秀青年人才进行国际学术交流；</w:t>
      </w:r>
    </w:p>
    <w:p>
      <w:pPr>
        <w:ind w:firstLine="420"/>
        <w:rPr>
          <w:rFonts w:hint="eastAsia" w:eastAsia="宋体" w:cs="Times New Roman"/>
          <w:color w:val="auto"/>
          <w:sz w:val="32"/>
          <w:szCs w:val="32"/>
          <w:highlight w:val="none"/>
        </w:rPr>
      </w:pPr>
      <w:r>
        <w:rPr>
          <w:rFonts w:hint="eastAsia" w:eastAsia="宋体" w:cs="Times New Roman"/>
          <w:color w:val="auto"/>
          <w:sz w:val="32"/>
          <w:szCs w:val="32"/>
          <w:highlight w:val="none"/>
        </w:rPr>
        <w:t>（五）支持高等学校、科研机构围绕重大战略、重大工程、重大项目、重点任务，选派优秀青年人才到基层人民政府或者企业挂职。</w:t>
      </w:r>
    </w:p>
    <w:p>
      <w:pPr>
        <w:pStyle w:val="13"/>
        <w:numPr>
          <w:ilvl w:val="0"/>
          <w:numId w:val="3"/>
        </w:numPr>
        <w:bidi w:val="0"/>
        <w:ind w:left="23" w:leftChars="0" w:firstLine="400" w:firstLineChars="0"/>
        <w:rPr>
          <w:rFonts w:hint="default"/>
          <w:sz w:val="32"/>
          <w:szCs w:val="32"/>
          <w:highlight w:val="none"/>
          <w:lang w:val="en-US" w:eastAsia="zh-CN"/>
        </w:rPr>
      </w:pPr>
      <w:r>
        <w:rPr>
          <w:rFonts w:hint="default"/>
          <w:sz w:val="32"/>
          <w:szCs w:val="32"/>
          <w:highlight w:val="none"/>
          <w:lang w:val="en-US" w:eastAsia="zh-CN"/>
        </w:rPr>
        <w:t>用人单位通过市场化手段引才补贴申领办法的主要内容是什么？</w:t>
      </w:r>
    </w:p>
    <w:p>
      <w:pPr>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640" w:firstLineChars="200"/>
        <w:textAlignment w:val="auto"/>
        <w:rPr>
          <w:rFonts w:hint="eastAsia" w:asciiTheme="minorEastAsia" w:hAnsiTheme="minorEastAsia" w:eastAsiaTheme="minorEastAsia" w:cstheme="minorEastAsia"/>
          <w:color w:val="auto"/>
          <w:kern w:val="2"/>
          <w:sz w:val="32"/>
          <w:szCs w:val="32"/>
          <w:highlight w:val="none"/>
          <w:lang w:val="en-US" w:eastAsia="zh-CN"/>
        </w:rPr>
      </w:pPr>
      <w:r>
        <w:rPr>
          <w:rFonts w:hint="eastAsia" w:asciiTheme="minorEastAsia" w:hAnsiTheme="minorEastAsia" w:eastAsiaTheme="minorEastAsia" w:cstheme="minorEastAsia"/>
          <w:color w:val="auto"/>
          <w:kern w:val="2"/>
          <w:sz w:val="32"/>
          <w:szCs w:val="32"/>
          <w:highlight w:val="none"/>
          <w:lang w:val="en-US" w:eastAsia="zh-CN"/>
        </w:rPr>
        <w:t>答案：用人单位通过第三方机构引进高层次人才入选省级以上重点人才工程的，省财政按照引才费用的10%给予最高20万元补贴，每家单位每年最高补贴100万元。</w:t>
      </w:r>
    </w:p>
    <w:p>
      <w:pPr>
        <w:pageBreakBefore w:val="0"/>
        <w:widowControl w:val="0"/>
        <w:kinsoku/>
        <w:wordWrap/>
        <w:overflowPunct/>
        <w:topLinePunct w:val="0"/>
        <w:autoSpaceDE/>
        <w:autoSpaceDN/>
        <w:bidi w:val="0"/>
        <w:adjustRightInd w:val="0"/>
        <w:snapToGrid w:val="0"/>
        <w:spacing w:line="400" w:lineRule="exact"/>
        <w:ind w:right="0" w:rightChars="0" w:firstLine="422"/>
        <w:textAlignment w:val="auto"/>
        <w:rPr>
          <w:rFonts w:hint="default" w:asciiTheme="minorEastAsia" w:hAnsiTheme="minorEastAsia" w:eastAsiaTheme="minorEastAsia" w:cstheme="minorEastAsia"/>
          <w:b w:val="0"/>
          <w:bCs/>
          <w:color w:val="auto"/>
          <w:sz w:val="32"/>
          <w:szCs w:val="32"/>
          <w:highlight w:val="none"/>
          <w:lang w:val="en-US" w:eastAsia="zh-CN"/>
        </w:rPr>
      </w:pPr>
      <w:r>
        <w:rPr>
          <w:rFonts w:hint="default" w:asciiTheme="minorEastAsia" w:hAnsiTheme="minorEastAsia" w:eastAsiaTheme="minorEastAsia" w:cstheme="minorEastAsia"/>
          <w:b/>
          <w:bCs w:val="0"/>
          <w:color w:val="auto"/>
          <w:sz w:val="32"/>
          <w:szCs w:val="32"/>
          <w:highlight w:val="none"/>
          <w:lang w:val="en-US" w:eastAsia="zh-CN"/>
        </w:rPr>
        <w:t>解析</w:t>
      </w:r>
      <w:r>
        <w:rPr>
          <w:rFonts w:hint="default" w:asciiTheme="minorEastAsia" w:hAnsiTheme="minorEastAsia" w:eastAsiaTheme="minorEastAsia" w:cstheme="minorEastAsia"/>
          <w:b w:val="0"/>
          <w:bCs/>
          <w:color w:val="auto"/>
          <w:sz w:val="32"/>
          <w:szCs w:val="32"/>
          <w:highlight w:val="none"/>
          <w:lang w:val="en-US" w:eastAsia="zh-CN"/>
        </w:rPr>
        <w:t>：参见《山东省用人单位通过市场化手段引进人才补贴申领办法》。（因此件为依申请公开，通过命题方式增加基层工作人员对政策的熟悉度）</w:t>
      </w:r>
      <w:r>
        <w:rPr>
          <w:rFonts w:hint="eastAsia" w:asciiTheme="minorEastAsia" w:hAnsiTheme="minorEastAsia" w:cstheme="minorEastAsia"/>
          <w:b w:val="0"/>
          <w:bCs/>
          <w:color w:val="auto"/>
          <w:sz w:val="32"/>
          <w:szCs w:val="32"/>
          <w:highlight w:val="none"/>
          <w:lang w:val="en-US" w:eastAsia="zh-CN"/>
        </w:rPr>
        <w:t>。</w:t>
      </w:r>
    </w:p>
    <w:p>
      <w:pPr>
        <w:pStyle w:val="2"/>
        <w:rPr>
          <w:rFonts w:hint="eastAsia" w:ascii="Times New Roman" w:hAnsi="Times New Roman" w:eastAsia="宋体" w:cs="Times New Roman"/>
          <w:sz w:val="32"/>
          <w:szCs w:val="32"/>
          <w:highlight w:val="none"/>
        </w:rPr>
      </w:pPr>
    </w:p>
    <w:p>
      <w:pPr>
        <w:pStyle w:val="2"/>
        <w:rPr>
          <w:rFonts w:hint="eastAsia" w:ascii="Times New Roman" w:hAnsi="Times New Roman" w:eastAsia="宋体" w:cs="Times New Roman"/>
          <w:sz w:val="32"/>
          <w:szCs w:val="32"/>
          <w:highlight w:val="none"/>
        </w:rPr>
      </w:pPr>
    </w:p>
    <w:p>
      <w:pPr>
        <w:pStyle w:val="2"/>
        <w:rPr>
          <w:rFonts w:hint="eastAsia" w:ascii="Times New Roman" w:hAnsi="Times New Roman" w:eastAsia="宋体" w:cs="Times New Roman"/>
          <w:sz w:val="32"/>
          <w:szCs w:val="32"/>
          <w:highlight w:val="none"/>
        </w:rPr>
      </w:pPr>
    </w:p>
    <w:p>
      <w:pPr>
        <w:pStyle w:val="2"/>
        <w:rPr>
          <w:rFonts w:hint="eastAsia" w:ascii="Times New Roman" w:hAnsi="Times New Roman" w:eastAsia="宋体" w:cs="Times New Roman"/>
          <w:sz w:val="32"/>
          <w:szCs w:val="32"/>
          <w:highlight w:val="none"/>
        </w:rPr>
      </w:pPr>
    </w:p>
    <w:p>
      <w:pPr>
        <w:pStyle w:val="2"/>
        <w:rPr>
          <w:rFonts w:hint="eastAsia" w:ascii="Times New Roman" w:hAnsi="Times New Roman" w:eastAsia="宋体" w:cs="Times New Roman"/>
          <w:sz w:val="32"/>
          <w:szCs w:val="32"/>
          <w:highlight w:val="none"/>
        </w:rPr>
      </w:pPr>
    </w:p>
    <w:p>
      <w:pPr>
        <w:ind w:firstLine="422"/>
        <w:rPr>
          <w:rFonts w:ascii="Times New Roman" w:hAnsi="Times New Roman" w:eastAsia="宋体" w:cs="Times New Roman"/>
          <w:sz w:val="32"/>
          <w:szCs w:val="32"/>
          <w:highlight w:val="none"/>
        </w:rPr>
      </w:pPr>
    </w:p>
    <w:p>
      <w:pPr>
        <w:pStyle w:val="4"/>
        <w:spacing w:before="156" w:after="312"/>
        <w:ind w:firstLine="600"/>
        <w:rPr>
          <w:rFonts w:hint="eastAsia"/>
          <w:sz w:val="32"/>
          <w:szCs w:val="32"/>
          <w:highlight w:val="none"/>
        </w:rPr>
      </w:pPr>
    </w:p>
    <w:p>
      <w:pPr>
        <w:rPr>
          <w:rFonts w:hint="eastAsia"/>
          <w:sz w:val="32"/>
          <w:szCs w:val="32"/>
          <w:highlight w:val="none"/>
        </w:rPr>
      </w:pPr>
    </w:p>
    <w:p>
      <w:pPr>
        <w:pStyle w:val="2"/>
        <w:rPr>
          <w:rFonts w:hint="eastAsia"/>
          <w:sz w:val="32"/>
          <w:szCs w:val="32"/>
          <w:highlight w:val="none"/>
        </w:rPr>
      </w:pPr>
    </w:p>
    <w:p>
      <w:pPr>
        <w:pStyle w:val="2"/>
        <w:rPr>
          <w:rFonts w:hint="eastAsia"/>
          <w:sz w:val="32"/>
          <w:szCs w:val="32"/>
          <w:highlight w:val="none"/>
        </w:rPr>
      </w:pPr>
    </w:p>
    <w:p>
      <w:pPr>
        <w:pStyle w:val="2"/>
        <w:rPr>
          <w:rFonts w:hint="eastAsia"/>
          <w:sz w:val="32"/>
          <w:szCs w:val="32"/>
          <w:highlight w:val="none"/>
        </w:rPr>
      </w:pPr>
    </w:p>
    <w:p>
      <w:pPr>
        <w:pStyle w:val="2"/>
        <w:rPr>
          <w:rFonts w:hint="eastAsia"/>
          <w:sz w:val="32"/>
          <w:szCs w:val="32"/>
          <w:highlight w:val="none"/>
        </w:rPr>
      </w:pPr>
    </w:p>
    <w:p>
      <w:pPr>
        <w:pStyle w:val="2"/>
        <w:rPr>
          <w:rFonts w:hint="eastAsia"/>
          <w:sz w:val="32"/>
          <w:szCs w:val="32"/>
          <w:highlight w:val="none"/>
        </w:rPr>
      </w:pPr>
    </w:p>
    <w:p>
      <w:pPr>
        <w:pStyle w:val="2"/>
        <w:rPr>
          <w:rFonts w:hint="eastAsia"/>
          <w:sz w:val="32"/>
          <w:szCs w:val="32"/>
          <w:highlight w:val="none"/>
        </w:rPr>
      </w:pPr>
    </w:p>
    <w:p>
      <w:pPr>
        <w:pStyle w:val="2"/>
        <w:rPr>
          <w:rFonts w:hint="eastAsia"/>
          <w:sz w:val="32"/>
          <w:szCs w:val="32"/>
          <w:highlight w:val="none"/>
        </w:rPr>
      </w:pPr>
    </w:p>
    <w:p>
      <w:pPr>
        <w:pStyle w:val="2"/>
        <w:rPr>
          <w:rFonts w:hint="eastAsia"/>
          <w:sz w:val="32"/>
          <w:szCs w:val="32"/>
          <w:highlight w:val="none"/>
        </w:rPr>
      </w:pPr>
    </w:p>
    <w:p>
      <w:pPr>
        <w:pStyle w:val="2"/>
        <w:rPr>
          <w:rFonts w:hint="eastAsia"/>
          <w:sz w:val="32"/>
          <w:szCs w:val="32"/>
          <w:highlight w:val="none"/>
        </w:rPr>
      </w:pPr>
    </w:p>
    <w:p>
      <w:pPr>
        <w:pStyle w:val="2"/>
        <w:rPr>
          <w:rFonts w:hint="eastAsia"/>
          <w:sz w:val="32"/>
          <w:szCs w:val="32"/>
          <w:highlight w:val="none"/>
        </w:rPr>
      </w:pPr>
    </w:p>
    <w:p>
      <w:pPr>
        <w:pStyle w:val="2"/>
        <w:rPr>
          <w:rFonts w:hint="eastAsia"/>
          <w:sz w:val="32"/>
          <w:szCs w:val="32"/>
          <w:highlight w:val="none"/>
        </w:rPr>
      </w:pPr>
    </w:p>
    <w:p>
      <w:pPr>
        <w:pStyle w:val="2"/>
        <w:rPr>
          <w:rFonts w:hint="eastAsia"/>
          <w:sz w:val="32"/>
          <w:szCs w:val="32"/>
          <w:highlight w:val="none"/>
        </w:rPr>
      </w:pPr>
    </w:p>
    <w:p>
      <w:pPr>
        <w:pStyle w:val="2"/>
        <w:rPr>
          <w:rFonts w:hint="eastAsia"/>
          <w:sz w:val="32"/>
          <w:szCs w:val="32"/>
          <w:highlight w:val="none"/>
        </w:rPr>
      </w:pPr>
    </w:p>
    <w:p>
      <w:pPr>
        <w:pStyle w:val="2"/>
        <w:rPr>
          <w:rFonts w:hint="eastAsia"/>
          <w:sz w:val="32"/>
          <w:szCs w:val="32"/>
          <w:highlight w:val="none"/>
        </w:rPr>
      </w:pPr>
    </w:p>
    <w:p>
      <w:pPr>
        <w:pStyle w:val="2"/>
        <w:rPr>
          <w:rFonts w:hint="eastAsia"/>
          <w:sz w:val="32"/>
          <w:szCs w:val="32"/>
          <w:highlight w:val="none"/>
        </w:rPr>
      </w:pPr>
    </w:p>
    <w:p>
      <w:pPr>
        <w:pStyle w:val="2"/>
        <w:rPr>
          <w:rFonts w:hint="eastAsia"/>
          <w:sz w:val="32"/>
          <w:szCs w:val="32"/>
          <w:highlight w:val="none"/>
        </w:rPr>
      </w:pPr>
    </w:p>
    <w:p>
      <w:pPr>
        <w:pStyle w:val="2"/>
        <w:rPr>
          <w:rFonts w:hint="eastAsia"/>
          <w:sz w:val="32"/>
          <w:szCs w:val="32"/>
          <w:highlight w:val="none"/>
        </w:rPr>
      </w:pPr>
      <w:bookmarkStart w:id="2" w:name="_GoBack"/>
      <w:bookmarkEnd w:id="2"/>
    </w:p>
    <w:p>
      <w:pPr>
        <w:rPr>
          <w:rFonts w:hint="eastAsia"/>
          <w:sz w:val="32"/>
          <w:szCs w:val="32"/>
          <w:highlight w:val="none"/>
        </w:rPr>
      </w:pPr>
    </w:p>
    <w:p>
      <w:pPr>
        <w:pStyle w:val="4"/>
        <w:spacing w:before="156" w:after="312"/>
        <w:ind w:firstLine="600"/>
        <w:rPr>
          <w:sz w:val="32"/>
          <w:szCs w:val="32"/>
          <w:highlight w:val="none"/>
        </w:rPr>
      </w:pPr>
      <w:r>
        <w:rPr>
          <w:rFonts w:hint="eastAsia"/>
          <w:sz w:val="32"/>
          <w:szCs w:val="32"/>
          <w:highlight w:val="none"/>
        </w:rPr>
        <w:t>（</w:t>
      </w:r>
      <w:r>
        <w:rPr>
          <w:rFonts w:hint="eastAsia"/>
          <w:sz w:val="32"/>
          <w:szCs w:val="32"/>
          <w:highlight w:val="none"/>
          <w:lang w:val="en-US" w:eastAsia="zh-CN"/>
        </w:rPr>
        <w:t>六</w:t>
      </w:r>
      <w:r>
        <w:rPr>
          <w:rFonts w:hint="eastAsia"/>
          <w:sz w:val="32"/>
          <w:szCs w:val="32"/>
          <w:highlight w:val="none"/>
        </w:rPr>
        <w:t>）综合服务标准规范</w:t>
      </w:r>
    </w:p>
    <w:p>
      <w:pPr>
        <w:pStyle w:val="2"/>
        <w:rPr>
          <w:rFonts w:hint="eastAsia" w:ascii="宋体" w:hAnsi="宋体" w:eastAsia="黑体" w:cs="宋体"/>
          <w:sz w:val="32"/>
          <w:szCs w:val="32"/>
          <w:highlight w:val="none"/>
          <w:lang w:eastAsia="zh-CN"/>
        </w:rPr>
      </w:pPr>
      <w:r>
        <w:rPr>
          <w:rFonts w:hint="eastAsia" w:ascii="Times New Roman" w:hAnsi="Times New Roman" w:eastAsia="黑体" w:cs="Times New Roman"/>
          <w:bCs/>
          <w:sz w:val="32"/>
          <w:szCs w:val="32"/>
          <w:highlight w:val="none"/>
        </w:rPr>
        <w:t>命题单位：</w:t>
      </w:r>
      <w:r>
        <w:rPr>
          <w:rFonts w:hint="eastAsia" w:ascii="Times New Roman" w:hAnsi="Times New Roman" w:eastAsia="黑体" w:cs="Times New Roman"/>
          <w:bCs/>
          <w:sz w:val="32"/>
          <w:szCs w:val="32"/>
          <w:highlight w:val="none"/>
          <w:lang w:eastAsia="zh-CN"/>
        </w:rPr>
        <w:t>省社保中心社保卡管理服务处</w:t>
      </w:r>
    </w:p>
    <w:p>
      <w:pPr>
        <w:pStyle w:val="13"/>
        <w:numPr>
          <w:ilvl w:val="0"/>
          <w:numId w:val="3"/>
        </w:numPr>
        <w:bidi w:val="0"/>
        <w:ind w:left="23" w:leftChars="0" w:firstLine="400" w:firstLineChars="0"/>
        <w:rPr>
          <w:rFonts w:hint="eastAsia"/>
          <w:sz w:val="32"/>
          <w:szCs w:val="32"/>
          <w:highlight w:val="none"/>
          <w:lang w:val="en-US" w:eastAsia="zh-CN"/>
        </w:rPr>
      </w:pPr>
      <w:r>
        <w:rPr>
          <w:rFonts w:hint="eastAsia"/>
          <w:sz w:val="32"/>
          <w:szCs w:val="32"/>
          <w:highlight w:val="none"/>
          <w:lang w:val="en-US" w:eastAsia="zh-CN"/>
        </w:rPr>
        <w:t>什么是社会保障卡？</w:t>
      </w:r>
    </w:p>
    <w:p>
      <w:pPr>
        <w:pStyle w:val="2"/>
        <w:rPr>
          <w:rFonts w:ascii="Times New Roman" w:hAnsi="Times New Roman" w:eastAsia="宋体" w:cs="Times New Roman"/>
          <w:sz w:val="32"/>
          <w:szCs w:val="32"/>
          <w:highlight w:val="none"/>
        </w:rPr>
      </w:pPr>
      <w:r>
        <w:rPr>
          <w:rFonts w:hint="eastAsia" w:ascii="宋体" w:hAnsi="宋体" w:eastAsia="宋体" w:cs="宋体"/>
          <w:b/>
          <w:bCs/>
          <w:sz w:val="32"/>
          <w:szCs w:val="32"/>
          <w:highlight w:val="none"/>
        </w:rPr>
        <w:t>答</w:t>
      </w:r>
      <w:r>
        <w:rPr>
          <w:rFonts w:hint="eastAsia" w:ascii="宋体" w:hAnsi="宋体" w:eastAsia="宋体" w:cs="宋体"/>
          <w:sz w:val="32"/>
          <w:szCs w:val="32"/>
          <w:highlight w:val="none"/>
        </w:rPr>
        <w:t>：社会保障卡，全称是“中华人民共和国社会保障卡”，是由人力资源和社会保障部统一规划，由各地人力资源社会保障部门面向社会</w:t>
      </w:r>
      <w:r>
        <w:rPr>
          <w:rFonts w:hint="eastAsia" w:ascii="宋体" w:hAnsi="宋体" w:eastAsia="宋体" w:cs="宋体"/>
          <w:sz w:val="32"/>
          <w:szCs w:val="32"/>
          <w:highlight w:val="none"/>
          <w:lang w:eastAsia="zh-CN"/>
        </w:rPr>
        <w:t>公众</w:t>
      </w:r>
      <w:r>
        <w:rPr>
          <w:rFonts w:hint="eastAsia" w:ascii="宋体" w:hAnsi="宋体" w:eastAsia="宋体" w:cs="宋体"/>
          <w:sz w:val="32"/>
          <w:szCs w:val="32"/>
          <w:highlight w:val="none"/>
        </w:rPr>
        <w:t>发行，</w:t>
      </w:r>
      <w:r>
        <w:rPr>
          <w:rFonts w:hint="eastAsia" w:ascii="宋体" w:hAnsi="宋体" w:eastAsia="宋体" w:cs="宋体"/>
          <w:sz w:val="32"/>
          <w:szCs w:val="32"/>
          <w:highlight w:val="none"/>
          <w:lang w:eastAsia="zh-CN"/>
        </w:rPr>
        <w:t>主要应</w:t>
      </w:r>
      <w:r>
        <w:rPr>
          <w:rFonts w:hint="eastAsia" w:ascii="宋体" w:hAnsi="宋体" w:eastAsia="宋体" w:cs="宋体"/>
          <w:sz w:val="32"/>
          <w:szCs w:val="32"/>
          <w:highlight w:val="none"/>
        </w:rPr>
        <w:t>用于人力资源社会保障</w:t>
      </w:r>
      <w:r>
        <w:rPr>
          <w:rFonts w:hint="eastAsia" w:ascii="宋体" w:hAnsi="宋体" w:eastAsia="宋体" w:cs="宋体"/>
          <w:sz w:val="32"/>
          <w:szCs w:val="32"/>
          <w:highlight w:val="none"/>
          <w:lang w:eastAsia="zh-CN"/>
        </w:rPr>
        <w:t>领域社会管理和公共服务</w:t>
      </w:r>
      <w:r>
        <w:rPr>
          <w:rFonts w:hint="eastAsia" w:ascii="宋体" w:hAnsi="宋体" w:eastAsia="宋体" w:cs="宋体"/>
          <w:sz w:val="32"/>
          <w:szCs w:val="32"/>
          <w:highlight w:val="none"/>
        </w:rPr>
        <w:t>的集成电路（IC）卡</w:t>
      </w:r>
      <w:r>
        <w:rPr>
          <w:rFonts w:hint="eastAsia" w:ascii="宋体" w:hAnsi="宋体" w:eastAsia="宋体" w:cs="宋体"/>
          <w:sz w:val="32"/>
          <w:szCs w:val="32"/>
          <w:highlight w:val="none"/>
          <w:lang w:eastAsia="zh-CN"/>
        </w:rPr>
        <w:t>，并可扩展应用至其他公共服务领域</w:t>
      </w:r>
      <w:r>
        <w:rPr>
          <w:rFonts w:hint="eastAsia" w:ascii="宋体" w:hAnsi="宋体" w:eastAsia="宋体" w:cs="宋体"/>
          <w:sz w:val="32"/>
          <w:szCs w:val="32"/>
          <w:highlight w:val="none"/>
        </w:rPr>
        <w:t>。</w:t>
      </w:r>
    </w:p>
    <w:p>
      <w:pPr>
        <w:pStyle w:val="2"/>
        <w:rPr>
          <w:rFonts w:hint="eastAsia" w:ascii="宋体" w:hAnsi="宋体" w:eastAsia="宋体" w:cs="宋体"/>
          <w:sz w:val="32"/>
          <w:szCs w:val="32"/>
          <w:highlight w:val="none"/>
          <w:lang w:eastAsia="zh-CN"/>
        </w:rPr>
      </w:pPr>
    </w:p>
    <w:p>
      <w:pPr>
        <w:pStyle w:val="2"/>
        <w:rPr>
          <w:rFonts w:hint="eastAsia" w:ascii="宋体" w:hAnsi="宋体" w:eastAsia="宋体" w:cs="宋体"/>
          <w:sz w:val="32"/>
          <w:szCs w:val="32"/>
          <w:highlight w:val="none"/>
          <w:lang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wps:spPr>
                    <wps:txbx>
                      <w:txbxContent>
                        <w:p>
                          <w:pPr>
                            <w:pStyle w:val="6"/>
                            <w:ind w:firstLine="420"/>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2</w:t>
                          </w:r>
                          <w:r>
                            <w:rPr>
                              <w:rFonts w:ascii="Times New Roman" w:hAnsi="Times New Roman" w:cs="Times New Roman"/>
                              <w:sz w:val="21"/>
                              <w:szCs w:val="21"/>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6s1RdAAAAADAQAADwAAAAAAAAAB&#10;ACAAAAAiAAAAZHJzL2Rvd25yZXYueG1sUEsBAhQAFAAAAAgAh07iQH5E6OPfAQAAtQMAAA4AAAAA&#10;AAAAAQAgAAAAHwEAAGRycy9lMm9Eb2MueG1sUEsFBgAAAAAGAAYAWQEAAHAFAAAAAA==&#10;">
              <v:fill on="f" focussize="0,0"/>
              <v:stroke on="f"/>
              <v:imagedata o:title=""/>
              <o:lock v:ext="edit" aspectratio="f"/>
              <v:textbox inset="0mm,0mm,0mm,0mm" style="mso-fit-shape-to-text:t;">
                <w:txbxContent>
                  <w:p>
                    <w:pPr>
                      <w:pStyle w:val="6"/>
                      <w:ind w:firstLine="420"/>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2</w:t>
                    </w:r>
                    <w:r>
                      <w:rPr>
                        <w:rFonts w:ascii="Times New Roman" w:hAnsi="Times New Roman" w:cs="Times New Roman"/>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406408"/>
    <w:multiLevelType w:val="singleLevel"/>
    <w:tmpl w:val="B5406408"/>
    <w:lvl w:ilvl="0" w:tentative="0">
      <w:start w:val="5"/>
      <w:numFmt w:val="chineseCounting"/>
      <w:suff w:val="nothing"/>
      <w:lvlText w:val="%1、"/>
      <w:lvlJc w:val="left"/>
      <w:rPr>
        <w:rFonts w:hint="eastAsia"/>
      </w:rPr>
    </w:lvl>
  </w:abstractNum>
  <w:abstractNum w:abstractNumId="1">
    <w:nsid w:val="E55A247A"/>
    <w:multiLevelType w:val="singleLevel"/>
    <w:tmpl w:val="E55A247A"/>
    <w:lvl w:ilvl="0" w:tentative="0">
      <w:start w:val="1"/>
      <w:numFmt w:val="decimal"/>
      <w:suff w:val="nothing"/>
      <w:lvlText w:val="%1．"/>
      <w:lvlJc w:val="left"/>
      <w:pPr>
        <w:ind w:left="23" w:firstLine="400"/>
      </w:pPr>
      <w:rPr>
        <w:rFonts w:hint="default"/>
      </w:rPr>
    </w:lvl>
  </w:abstractNum>
  <w:abstractNum w:abstractNumId="2">
    <w:nsid w:val="29F2667D"/>
    <w:multiLevelType w:val="multilevel"/>
    <w:tmpl w:val="29F2667D"/>
    <w:lvl w:ilvl="0" w:tentative="0">
      <w:start w:val="1"/>
      <w:numFmt w:val="decimal"/>
      <w:pStyle w:val="13"/>
      <w:suff w:val="nothing"/>
      <w:lvlText w:val="%1．"/>
      <w:lvlJc w:val="left"/>
      <w:pPr>
        <w:ind w:left="840" w:hanging="420"/>
      </w:pPr>
      <w:rPr>
        <w:rFonts w:hint="default" w:ascii="Times New Roman" w:hAnsi="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51A"/>
    <w:rsid w:val="00033305"/>
    <w:rsid w:val="000A565F"/>
    <w:rsid w:val="000E5211"/>
    <w:rsid w:val="00140208"/>
    <w:rsid w:val="001E24D7"/>
    <w:rsid w:val="0026133E"/>
    <w:rsid w:val="0026583A"/>
    <w:rsid w:val="00270DAA"/>
    <w:rsid w:val="00275749"/>
    <w:rsid w:val="002B61BF"/>
    <w:rsid w:val="002D0B39"/>
    <w:rsid w:val="00343E23"/>
    <w:rsid w:val="0039167C"/>
    <w:rsid w:val="003A1295"/>
    <w:rsid w:val="003C6525"/>
    <w:rsid w:val="00415603"/>
    <w:rsid w:val="004241A6"/>
    <w:rsid w:val="00431E75"/>
    <w:rsid w:val="004B7A9C"/>
    <w:rsid w:val="00604EE7"/>
    <w:rsid w:val="00673E90"/>
    <w:rsid w:val="00717EF6"/>
    <w:rsid w:val="00753FCC"/>
    <w:rsid w:val="00771F42"/>
    <w:rsid w:val="008C1C67"/>
    <w:rsid w:val="00AE19B6"/>
    <w:rsid w:val="00AF52B5"/>
    <w:rsid w:val="00B24B15"/>
    <w:rsid w:val="00B538AB"/>
    <w:rsid w:val="00BA0843"/>
    <w:rsid w:val="00BE2FE9"/>
    <w:rsid w:val="00C80E6A"/>
    <w:rsid w:val="00C957FA"/>
    <w:rsid w:val="00CC3FD1"/>
    <w:rsid w:val="00CD61E7"/>
    <w:rsid w:val="00D0205C"/>
    <w:rsid w:val="00D041C6"/>
    <w:rsid w:val="00D36DD4"/>
    <w:rsid w:val="00D64380"/>
    <w:rsid w:val="00DC451A"/>
    <w:rsid w:val="00E06001"/>
    <w:rsid w:val="00E36F69"/>
    <w:rsid w:val="00EA62F4"/>
    <w:rsid w:val="00F118B1"/>
    <w:rsid w:val="00F63144"/>
    <w:rsid w:val="00FD1708"/>
    <w:rsid w:val="00FD5717"/>
    <w:rsid w:val="00FE6D0A"/>
    <w:rsid w:val="00FE7128"/>
    <w:rsid w:val="00FE7A6B"/>
    <w:rsid w:val="01092F56"/>
    <w:rsid w:val="015945E6"/>
    <w:rsid w:val="01994BF2"/>
    <w:rsid w:val="01D12742"/>
    <w:rsid w:val="01D15BF0"/>
    <w:rsid w:val="023C01FE"/>
    <w:rsid w:val="02BD594D"/>
    <w:rsid w:val="02C313CD"/>
    <w:rsid w:val="02CE5ACF"/>
    <w:rsid w:val="02EA7B7A"/>
    <w:rsid w:val="031B7D8A"/>
    <w:rsid w:val="03C0104D"/>
    <w:rsid w:val="03CE0D3A"/>
    <w:rsid w:val="03F6788E"/>
    <w:rsid w:val="0422340B"/>
    <w:rsid w:val="045E6950"/>
    <w:rsid w:val="0492234C"/>
    <w:rsid w:val="052E6C61"/>
    <w:rsid w:val="053976B7"/>
    <w:rsid w:val="05A30965"/>
    <w:rsid w:val="05A53C50"/>
    <w:rsid w:val="06455BD0"/>
    <w:rsid w:val="06E33544"/>
    <w:rsid w:val="070935A1"/>
    <w:rsid w:val="07122938"/>
    <w:rsid w:val="0721238D"/>
    <w:rsid w:val="07690954"/>
    <w:rsid w:val="07B25B15"/>
    <w:rsid w:val="08375548"/>
    <w:rsid w:val="08AB1541"/>
    <w:rsid w:val="08B110CB"/>
    <w:rsid w:val="08C2342D"/>
    <w:rsid w:val="08D33222"/>
    <w:rsid w:val="09112F2E"/>
    <w:rsid w:val="091521E3"/>
    <w:rsid w:val="095148AA"/>
    <w:rsid w:val="095E214C"/>
    <w:rsid w:val="09666EC9"/>
    <w:rsid w:val="09B23198"/>
    <w:rsid w:val="09FA76E5"/>
    <w:rsid w:val="0A4A11E9"/>
    <w:rsid w:val="0A4D7487"/>
    <w:rsid w:val="0A695C79"/>
    <w:rsid w:val="0A6E1345"/>
    <w:rsid w:val="0A7F0B43"/>
    <w:rsid w:val="0B522B41"/>
    <w:rsid w:val="0B8E1919"/>
    <w:rsid w:val="0BC745F0"/>
    <w:rsid w:val="0C19781F"/>
    <w:rsid w:val="0C2E3D9A"/>
    <w:rsid w:val="0C8B21CB"/>
    <w:rsid w:val="0CD07933"/>
    <w:rsid w:val="0CE520FA"/>
    <w:rsid w:val="0CFF3FA3"/>
    <w:rsid w:val="0D263474"/>
    <w:rsid w:val="0D507CD3"/>
    <w:rsid w:val="0D592990"/>
    <w:rsid w:val="0DA426A6"/>
    <w:rsid w:val="0DAC7711"/>
    <w:rsid w:val="0DE452F9"/>
    <w:rsid w:val="0E261BB9"/>
    <w:rsid w:val="0E8F1682"/>
    <w:rsid w:val="0F12477C"/>
    <w:rsid w:val="0F2D47D2"/>
    <w:rsid w:val="0F4607EE"/>
    <w:rsid w:val="0F47687B"/>
    <w:rsid w:val="0F6143ED"/>
    <w:rsid w:val="0F8D2235"/>
    <w:rsid w:val="0FB83C81"/>
    <w:rsid w:val="0FCD5AE5"/>
    <w:rsid w:val="100050C3"/>
    <w:rsid w:val="10226F4B"/>
    <w:rsid w:val="103604CB"/>
    <w:rsid w:val="10363188"/>
    <w:rsid w:val="10B51756"/>
    <w:rsid w:val="10DE7ABA"/>
    <w:rsid w:val="10E14FD9"/>
    <w:rsid w:val="110D332D"/>
    <w:rsid w:val="111E11C6"/>
    <w:rsid w:val="11244E2A"/>
    <w:rsid w:val="116043BC"/>
    <w:rsid w:val="11743106"/>
    <w:rsid w:val="1180565E"/>
    <w:rsid w:val="119A3AEA"/>
    <w:rsid w:val="120B6E40"/>
    <w:rsid w:val="12453D6A"/>
    <w:rsid w:val="126A5863"/>
    <w:rsid w:val="12A11893"/>
    <w:rsid w:val="12CA1E2F"/>
    <w:rsid w:val="135042B5"/>
    <w:rsid w:val="13595D06"/>
    <w:rsid w:val="13C50F02"/>
    <w:rsid w:val="13CB00F4"/>
    <w:rsid w:val="13DC19C3"/>
    <w:rsid w:val="13EA7498"/>
    <w:rsid w:val="13F67B83"/>
    <w:rsid w:val="144677D2"/>
    <w:rsid w:val="14532812"/>
    <w:rsid w:val="14814FF5"/>
    <w:rsid w:val="149503FB"/>
    <w:rsid w:val="1538360C"/>
    <w:rsid w:val="15713B84"/>
    <w:rsid w:val="158C76A9"/>
    <w:rsid w:val="15D77884"/>
    <w:rsid w:val="16332C2C"/>
    <w:rsid w:val="16511A2F"/>
    <w:rsid w:val="171E2306"/>
    <w:rsid w:val="175B1BBB"/>
    <w:rsid w:val="17CE5456"/>
    <w:rsid w:val="17D30E94"/>
    <w:rsid w:val="17F56AF3"/>
    <w:rsid w:val="181F530C"/>
    <w:rsid w:val="18514540"/>
    <w:rsid w:val="18746EB5"/>
    <w:rsid w:val="189C4896"/>
    <w:rsid w:val="18ED3C8A"/>
    <w:rsid w:val="190B4881"/>
    <w:rsid w:val="190C73F1"/>
    <w:rsid w:val="194C00B1"/>
    <w:rsid w:val="19A33A4B"/>
    <w:rsid w:val="19B31DCE"/>
    <w:rsid w:val="19C40022"/>
    <w:rsid w:val="1A1B16B1"/>
    <w:rsid w:val="1A4778F0"/>
    <w:rsid w:val="1AB0617B"/>
    <w:rsid w:val="1ABC334D"/>
    <w:rsid w:val="1AED2E83"/>
    <w:rsid w:val="1B2A2747"/>
    <w:rsid w:val="1B645604"/>
    <w:rsid w:val="1B8B463F"/>
    <w:rsid w:val="1BA07D07"/>
    <w:rsid w:val="1BFC5129"/>
    <w:rsid w:val="1C310C0B"/>
    <w:rsid w:val="1C4E6138"/>
    <w:rsid w:val="1C66441A"/>
    <w:rsid w:val="1CB44135"/>
    <w:rsid w:val="1CCE7106"/>
    <w:rsid w:val="1CD6742B"/>
    <w:rsid w:val="1CD80335"/>
    <w:rsid w:val="1CEB7D1E"/>
    <w:rsid w:val="1DB57C84"/>
    <w:rsid w:val="1DD75D0F"/>
    <w:rsid w:val="1DDA7030"/>
    <w:rsid w:val="1E36568B"/>
    <w:rsid w:val="1E4437B5"/>
    <w:rsid w:val="1EB91F79"/>
    <w:rsid w:val="1EFE3182"/>
    <w:rsid w:val="1F2024FE"/>
    <w:rsid w:val="1F323399"/>
    <w:rsid w:val="1F9C79C1"/>
    <w:rsid w:val="1FBD0C2D"/>
    <w:rsid w:val="2040385D"/>
    <w:rsid w:val="2056736E"/>
    <w:rsid w:val="20655483"/>
    <w:rsid w:val="20694CB3"/>
    <w:rsid w:val="208F5EB0"/>
    <w:rsid w:val="209E4472"/>
    <w:rsid w:val="20BD1C9E"/>
    <w:rsid w:val="215B3BB7"/>
    <w:rsid w:val="215C7DFA"/>
    <w:rsid w:val="218534EE"/>
    <w:rsid w:val="218C27BD"/>
    <w:rsid w:val="21990C21"/>
    <w:rsid w:val="219A2CE0"/>
    <w:rsid w:val="21B058E5"/>
    <w:rsid w:val="21F105AD"/>
    <w:rsid w:val="223A1D24"/>
    <w:rsid w:val="223A7CFC"/>
    <w:rsid w:val="22A25C48"/>
    <w:rsid w:val="231D021A"/>
    <w:rsid w:val="231E748D"/>
    <w:rsid w:val="23693724"/>
    <w:rsid w:val="24411030"/>
    <w:rsid w:val="245C2322"/>
    <w:rsid w:val="2477136B"/>
    <w:rsid w:val="24EE0EC3"/>
    <w:rsid w:val="2515407C"/>
    <w:rsid w:val="25851CBC"/>
    <w:rsid w:val="25AD151A"/>
    <w:rsid w:val="26D52B88"/>
    <w:rsid w:val="26DD3344"/>
    <w:rsid w:val="27584681"/>
    <w:rsid w:val="275B5288"/>
    <w:rsid w:val="27797C21"/>
    <w:rsid w:val="2780014B"/>
    <w:rsid w:val="27E13624"/>
    <w:rsid w:val="280C3FBA"/>
    <w:rsid w:val="2826126A"/>
    <w:rsid w:val="283F5C5E"/>
    <w:rsid w:val="285C5BDC"/>
    <w:rsid w:val="28B63C48"/>
    <w:rsid w:val="28EF2D93"/>
    <w:rsid w:val="29564275"/>
    <w:rsid w:val="29D03C37"/>
    <w:rsid w:val="29D56589"/>
    <w:rsid w:val="29F97619"/>
    <w:rsid w:val="2A143B0D"/>
    <w:rsid w:val="2A317E8A"/>
    <w:rsid w:val="2A6546D5"/>
    <w:rsid w:val="2A935864"/>
    <w:rsid w:val="2AB31F81"/>
    <w:rsid w:val="2AF065DB"/>
    <w:rsid w:val="2B2F5BE5"/>
    <w:rsid w:val="2B4F0485"/>
    <w:rsid w:val="2BCB407B"/>
    <w:rsid w:val="2C7B5D64"/>
    <w:rsid w:val="2C9F7DE0"/>
    <w:rsid w:val="2CE1106A"/>
    <w:rsid w:val="2CE306FD"/>
    <w:rsid w:val="2D3472A8"/>
    <w:rsid w:val="2D503417"/>
    <w:rsid w:val="2D66079F"/>
    <w:rsid w:val="2D8C7C89"/>
    <w:rsid w:val="2DD236E5"/>
    <w:rsid w:val="2DD52A5A"/>
    <w:rsid w:val="2E5954F2"/>
    <w:rsid w:val="2E6228E2"/>
    <w:rsid w:val="2E702D79"/>
    <w:rsid w:val="2E712353"/>
    <w:rsid w:val="2E743E6E"/>
    <w:rsid w:val="2E8766B3"/>
    <w:rsid w:val="2EAA45F7"/>
    <w:rsid w:val="2F324024"/>
    <w:rsid w:val="2F70160A"/>
    <w:rsid w:val="2FA7733F"/>
    <w:rsid w:val="2FC87908"/>
    <w:rsid w:val="303B6A39"/>
    <w:rsid w:val="305611AE"/>
    <w:rsid w:val="30756B4C"/>
    <w:rsid w:val="307661C2"/>
    <w:rsid w:val="30D23A92"/>
    <w:rsid w:val="31506E79"/>
    <w:rsid w:val="315C446B"/>
    <w:rsid w:val="31856ED6"/>
    <w:rsid w:val="318C0711"/>
    <w:rsid w:val="31A0348F"/>
    <w:rsid w:val="31BA67C4"/>
    <w:rsid w:val="320271F0"/>
    <w:rsid w:val="3211238A"/>
    <w:rsid w:val="32743E00"/>
    <w:rsid w:val="32A16792"/>
    <w:rsid w:val="32C74383"/>
    <w:rsid w:val="32CF0BAC"/>
    <w:rsid w:val="33144EE3"/>
    <w:rsid w:val="33182D50"/>
    <w:rsid w:val="33473CC1"/>
    <w:rsid w:val="339010D3"/>
    <w:rsid w:val="341A2700"/>
    <w:rsid w:val="342B4E9A"/>
    <w:rsid w:val="34482F5D"/>
    <w:rsid w:val="34D153DB"/>
    <w:rsid w:val="34D401FB"/>
    <w:rsid w:val="35226FBD"/>
    <w:rsid w:val="353B5B33"/>
    <w:rsid w:val="355738D4"/>
    <w:rsid w:val="35664D4E"/>
    <w:rsid w:val="36245AE4"/>
    <w:rsid w:val="362D4613"/>
    <w:rsid w:val="36347C94"/>
    <w:rsid w:val="36D14032"/>
    <w:rsid w:val="36E812C8"/>
    <w:rsid w:val="36EF54C9"/>
    <w:rsid w:val="3708129C"/>
    <w:rsid w:val="37602FAB"/>
    <w:rsid w:val="37E83E1E"/>
    <w:rsid w:val="38194E8F"/>
    <w:rsid w:val="381D4BB3"/>
    <w:rsid w:val="385F2CF9"/>
    <w:rsid w:val="38682C29"/>
    <w:rsid w:val="387349AA"/>
    <w:rsid w:val="38A21F39"/>
    <w:rsid w:val="391930CC"/>
    <w:rsid w:val="39550B6D"/>
    <w:rsid w:val="39F63011"/>
    <w:rsid w:val="3A042E5B"/>
    <w:rsid w:val="3A0756EB"/>
    <w:rsid w:val="3A1F40FB"/>
    <w:rsid w:val="3A9E77AD"/>
    <w:rsid w:val="3AC7584B"/>
    <w:rsid w:val="3B135621"/>
    <w:rsid w:val="3B70063B"/>
    <w:rsid w:val="3B904D7D"/>
    <w:rsid w:val="3BC10630"/>
    <w:rsid w:val="3BCA2914"/>
    <w:rsid w:val="3BE844A2"/>
    <w:rsid w:val="3BEE37F4"/>
    <w:rsid w:val="3C032D61"/>
    <w:rsid w:val="3C1B7DE2"/>
    <w:rsid w:val="3C5570BF"/>
    <w:rsid w:val="3C591EE7"/>
    <w:rsid w:val="3C6477FF"/>
    <w:rsid w:val="3C91413F"/>
    <w:rsid w:val="3C94578A"/>
    <w:rsid w:val="3CD42A66"/>
    <w:rsid w:val="3D301AFC"/>
    <w:rsid w:val="3D546475"/>
    <w:rsid w:val="3DC67CCF"/>
    <w:rsid w:val="3E915608"/>
    <w:rsid w:val="3EB92A76"/>
    <w:rsid w:val="3EE10183"/>
    <w:rsid w:val="3F485796"/>
    <w:rsid w:val="3F593ED8"/>
    <w:rsid w:val="3FBC485B"/>
    <w:rsid w:val="3FFE48DD"/>
    <w:rsid w:val="40482064"/>
    <w:rsid w:val="407339DB"/>
    <w:rsid w:val="40BB111B"/>
    <w:rsid w:val="40BD27B2"/>
    <w:rsid w:val="40D04BC4"/>
    <w:rsid w:val="40E55603"/>
    <w:rsid w:val="410369FA"/>
    <w:rsid w:val="41087844"/>
    <w:rsid w:val="411352B8"/>
    <w:rsid w:val="41184805"/>
    <w:rsid w:val="411A718D"/>
    <w:rsid w:val="41927594"/>
    <w:rsid w:val="42234454"/>
    <w:rsid w:val="429174C5"/>
    <w:rsid w:val="429177F1"/>
    <w:rsid w:val="429B5C54"/>
    <w:rsid w:val="433650D3"/>
    <w:rsid w:val="433E78AC"/>
    <w:rsid w:val="43487FBD"/>
    <w:rsid w:val="43840844"/>
    <w:rsid w:val="440F2827"/>
    <w:rsid w:val="4416158A"/>
    <w:rsid w:val="444E75EF"/>
    <w:rsid w:val="449E1E70"/>
    <w:rsid w:val="44BF0457"/>
    <w:rsid w:val="44CB7913"/>
    <w:rsid w:val="44D21BCB"/>
    <w:rsid w:val="44FC1723"/>
    <w:rsid w:val="450E0F06"/>
    <w:rsid w:val="451A639D"/>
    <w:rsid w:val="451C59DD"/>
    <w:rsid w:val="45761C29"/>
    <w:rsid w:val="45A429DB"/>
    <w:rsid w:val="45A82DD8"/>
    <w:rsid w:val="45DB02D5"/>
    <w:rsid w:val="45E63A1E"/>
    <w:rsid w:val="45F50723"/>
    <w:rsid w:val="46117A50"/>
    <w:rsid w:val="46226732"/>
    <w:rsid w:val="46291523"/>
    <w:rsid w:val="462E4327"/>
    <w:rsid w:val="466665B6"/>
    <w:rsid w:val="46A107C9"/>
    <w:rsid w:val="47175E45"/>
    <w:rsid w:val="47516CC0"/>
    <w:rsid w:val="476E72DE"/>
    <w:rsid w:val="47803667"/>
    <w:rsid w:val="47AC1225"/>
    <w:rsid w:val="47AC3A65"/>
    <w:rsid w:val="47C04BD6"/>
    <w:rsid w:val="48476B48"/>
    <w:rsid w:val="48D03E7E"/>
    <w:rsid w:val="48DB416B"/>
    <w:rsid w:val="490779DF"/>
    <w:rsid w:val="495073A3"/>
    <w:rsid w:val="498E24DB"/>
    <w:rsid w:val="49921E54"/>
    <w:rsid w:val="49A63985"/>
    <w:rsid w:val="49FE4C52"/>
    <w:rsid w:val="4A571DD8"/>
    <w:rsid w:val="4A8F46F1"/>
    <w:rsid w:val="4AC24E37"/>
    <w:rsid w:val="4AC96352"/>
    <w:rsid w:val="4ACE5A9F"/>
    <w:rsid w:val="4B0B7C61"/>
    <w:rsid w:val="4B2B77AC"/>
    <w:rsid w:val="4B334644"/>
    <w:rsid w:val="4B561134"/>
    <w:rsid w:val="4B7F6E59"/>
    <w:rsid w:val="4BBF50BD"/>
    <w:rsid w:val="4BCA7D0F"/>
    <w:rsid w:val="4C63496A"/>
    <w:rsid w:val="4C6A57D4"/>
    <w:rsid w:val="4CA622AE"/>
    <w:rsid w:val="4CAD3A5F"/>
    <w:rsid w:val="4CD34F86"/>
    <w:rsid w:val="4D5659F3"/>
    <w:rsid w:val="4D751E7E"/>
    <w:rsid w:val="4D9B4C46"/>
    <w:rsid w:val="4DCB55E8"/>
    <w:rsid w:val="4E327E05"/>
    <w:rsid w:val="4EDD5099"/>
    <w:rsid w:val="4F2A4A3E"/>
    <w:rsid w:val="4F2D3C5F"/>
    <w:rsid w:val="4F7A238E"/>
    <w:rsid w:val="4F827F9D"/>
    <w:rsid w:val="4FCC46F3"/>
    <w:rsid w:val="4FD5423B"/>
    <w:rsid w:val="4FE87E52"/>
    <w:rsid w:val="50B27B30"/>
    <w:rsid w:val="50BB164C"/>
    <w:rsid w:val="5101358A"/>
    <w:rsid w:val="51066BC7"/>
    <w:rsid w:val="512170C1"/>
    <w:rsid w:val="514D096F"/>
    <w:rsid w:val="51592EB1"/>
    <w:rsid w:val="5191615A"/>
    <w:rsid w:val="51A6511F"/>
    <w:rsid w:val="51F11735"/>
    <w:rsid w:val="521867F0"/>
    <w:rsid w:val="522E4257"/>
    <w:rsid w:val="528F57C8"/>
    <w:rsid w:val="52BA1779"/>
    <w:rsid w:val="52C77D71"/>
    <w:rsid w:val="52D305EB"/>
    <w:rsid w:val="52F7614A"/>
    <w:rsid w:val="52F975EC"/>
    <w:rsid w:val="533460AF"/>
    <w:rsid w:val="53563CA5"/>
    <w:rsid w:val="53570BC7"/>
    <w:rsid w:val="536D6DCA"/>
    <w:rsid w:val="538727D0"/>
    <w:rsid w:val="53D72CDD"/>
    <w:rsid w:val="53FF694C"/>
    <w:rsid w:val="54304E6E"/>
    <w:rsid w:val="549B63A9"/>
    <w:rsid w:val="54BC7A92"/>
    <w:rsid w:val="553C3428"/>
    <w:rsid w:val="55762315"/>
    <w:rsid w:val="55852044"/>
    <w:rsid w:val="56955D93"/>
    <w:rsid w:val="56B15A5D"/>
    <w:rsid w:val="56C278AF"/>
    <w:rsid w:val="56F93070"/>
    <w:rsid w:val="56FE3656"/>
    <w:rsid w:val="57350461"/>
    <w:rsid w:val="57977507"/>
    <w:rsid w:val="579E7647"/>
    <w:rsid w:val="580646F3"/>
    <w:rsid w:val="580E3192"/>
    <w:rsid w:val="58102CB7"/>
    <w:rsid w:val="587C1FDE"/>
    <w:rsid w:val="58BA37BB"/>
    <w:rsid w:val="590E08E8"/>
    <w:rsid w:val="590F50D1"/>
    <w:rsid w:val="5935512D"/>
    <w:rsid w:val="594B78A6"/>
    <w:rsid w:val="594E5CF5"/>
    <w:rsid w:val="59AA5222"/>
    <w:rsid w:val="59E459B7"/>
    <w:rsid w:val="5A103A24"/>
    <w:rsid w:val="5A3B54D5"/>
    <w:rsid w:val="5A8142CE"/>
    <w:rsid w:val="5A895DE4"/>
    <w:rsid w:val="5A954B05"/>
    <w:rsid w:val="5B446639"/>
    <w:rsid w:val="5B793FEE"/>
    <w:rsid w:val="5C3C2A62"/>
    <w:rsid w:val="5C3F2564"/>
    <w:rsid w:val="5D030EAE"/>
    <w:rsid w:val="5D5B3997"/>
    <w:rsid w:val="5D5E7423"/>
    <w:rsid w:val="5D911248"/>
    <w:rsid w:val="5DA23BD4"/>
    <w:rsid w:val="5E033FFC"/>
    <w:rsid w:val="5E4067A4"/>
    <w:rsid w:val="5EBC0502"/>
    <w:rsid w:val="5EE01D95"/>
    <w:rsid w:val="5F1C6C21"/>
    <w:rsid w:val="5F7512D6"/>
    <w:rsid w:val="601F0149"/>
    <w:rsid w:val="605A1820"/>
    <w:rsid w:val="6083689A"/>
    <w:rsid w:val="60891C74"/>
    <w:rsid w:val="60A85E18"/>
    <w:rsid w:val="60D17EF0"/>
    <w:rsid w:val="61223EA7"/>
    <w:rsid w:val="6196744E"/>
    <w:rsid w:val="61A43A29"/>
    <w:rsid w:val="61A81BC7"/>
    <w:rsid w:val="61AC439B"/>
    <w:rsid w:val="61AF3DF0"/>
    <w:rsid w:val="61C41FFE"/>
    <w:rsid w:val="61D64AE4"/>
    <w:rsid w:val="61ED2726"/>
    <w:rsid w:val="620574EC"/>
    <w:rsid w:val="628425B3"/>
    <w:rsid w:val="62A17D29"/>
    <w:rsid w:val="62B81394"/>
    <w:rsid w:val="62D22846"/>
    <w:rsid w:val="62DA2F7A"/>
    <w:rsid w:val="631406E8"/>
    <w:rsid w:val="633E21D1"/>
    <w:rsid w:val="637C5BB7"/>
    <w:rsid w:val="638A1663"/>
    <w:rsid w:val="63F35722"/>
    <w:rsid w:val="641D3B45"/>
    <w:rsid w:val="645E4E0C"/>
    <w:rsid w:val="648D79BF"/>
    <w:rsid w:val="64DB252E"/>
    <w:rsid w:val="64DB6F0F"/>
    <w:rsid w:val="651C126C"/>
    <w:rsid w:val="652E5DD1"/>
    <w:rsid w:val="65635875"/>
    <w:rsid w:val="65AF34E9"/>
    <w:rsid w:val="66254939"/>
    <w:rsid w:val="663C301C"/>
    <w:rsid w:val="66A759C8"/>
    <w:rsid w:val="66FC4477"/>
    <w:rsid w:val="67752E7F"/>
    <w:rsid w:val="679B123C"/>
    <w:rsid w:val="679D628E"/>
    <w:rsid w:val="67B26D3B"/>
    <w:rsid w:val="67BF3B3F"/>
    <w:rsid w:val="680D4D53"/>
    <w:rsid w:val="6816696B"/>
    <w:rsid w:val="68252B11"/>
    <w:rsid w:val="68353A12"/>
    <w:rsid w:val="687462A0"/>
    <w:rsid w:val="69774836"/>
    <w:rsid w:val="6A5012FB"/>
    <w:rsid w:val="6A653EC6"/>
    <w:rsid w:val="6A703955"/>
    <w:rsid w:val="6A7F2513"/>
    <w:rsid w:val="6ABE5ACE"/>
    <w:rsid w:val="6AFA414D"/>
    <w:rsid w:val="6B0B272C"/>
    <w:rsid w:val="6B3C68D5"/>
    <w:rsid w:val="6B4B07BA"/>
    <w:rsid w:val="6B674632"/>
    <w:rsid w:val="6BA77F61"/>
    <w:rsid w:val="6BF30CC1"/>
    <w:rsid w:val="6C2A7E8A"/>
    <w:rsid w:val="6C4710D6"/>
    <w:rsid w:val="6CBE472E"/>
    <w:rsid w:val="6DAD61A4"/>
    <w:rsid w:val="6DD52100"/>
    <w:rsid w:val="6DEA39FB"/>
    <w:rsid w:val="6E8D59EC"/>
    <w:rsid w:val="6E917951"/>
    <w:rsid w:val="6E9837FB"/>
    <w:rsid w:val="6E9F4FA3"/>
    <w:rsid w:val="6EAE1FFD"/>
    <w:rsid w:val="6F511CFE"/>
    <w:rsid w:val="6F7E0FC2"/>
    <w:rsid w:val="6FB849C0"/>
    <w:rsid w:val="6FD70916"/>
    <w:rsid w:val="6FD72620"/>
    <w:rsid w:val="70083FF0"/>
    <w:rsid w:val="702F2310"/>
    <w:rsid w:val="70772369"/>
    <w:rsid w:val="709423BA"/>
    <w:rsid w:val="70B85F2D"/>
    <w:rsid w:val="70D47B4F"/>
    <w:rsid w:val="70D76853"/>
    <w:rsid w:val="71AD62B4"/>
    <w:rsid w:val="723848EC"/>
    <w:rsid w:val="726F4AE4"/>
    <w:rsid w:val="727F6DBD"/>
    <w:rsid w:val="730062BD"/>
    <w:rsid w:val="73BE58D4"/>
    <w:rsid w:val="73C15A95"/>
    <w:rsid w:val="73C911FE"/>
    <w:rsid w:val="742268F1"/>
    <w:rsid w:val="74A64687"/>
    <w:rsid w:val="74AF3DC9"/>
    <w:rsid w:val="74B9339C"/>
    <w:rsid w:val="74BB4C49"/>
    <w:rsid w:val="74BF1C1B"/>
    <w:rsid w:val="75A27693"/>
    <w:rsid w:val="76082D18"/>
    <w:rsid w:val="760B0318"/>
    <w:rsid w:val="76473DD4"/>
    <w:rsid w:val="774A1C15"/>
    <w:rsid w:val="77EC4FAF"/>
    <w:rsid w:val="78081DC5"/>
    <w:rsid w:val="78F26B4A"/>
    <w:rsid w:val="794E441B"/>
    <w:rsid w:val="79981B9B"/>
    <w:rsid w:val="79A75296"/>
    <w:rsid w:val="79B17C27"/>
    <w:rsid w:val="79EC5DEB"/>
    <w:rsid w:val="79FB7FCE"/>
    <w:rsid w:val="7A051605"/>
    <w:rsid w:val="7A545EAC"/>
    <w:rsid w:val="7A8C7159"/>
    <w:rsid w:val="7ADF500F"/>
    <w:rsid w:val="7AFC1896"/>
    <w:rsid w:val="7B120496"/>
    <w:rsid w:val="7B7046F6"/>
    <w:rsid w:val="7BAF1C7F"/>
    <w:rsid w:val="7BD2292C"/>
    <w:rsid w:val="7BD407DD"/>
    <w:rsid w:val="7BDE3D6C"/>
    <w:rsid w:val="7C4519BE"/>
    <w:rsid w:val="7C895DF5"/>
    <w:rsid w:val="7CAD7064"/>
    <w:rsid w:val="7D20734B"/>
    <w:rsid w:val="7D363B81"/>
    <w:rsid w:val="7D8073DE"/>
    <w:rsid w:val="7DA3134C"/>
    <w:rsid w:val="7DA56C7C"/>
    <w:rsid w:val="7DE9229F"/>
    <w:rsid w:val="7DE97845"/>
    <w:rsid w:val="7DF955AF"/>
    <w:rsid w:val="7E937E4D"/>
    <w:rsid w:val="7E9A0A87"/>
    <w:rsid w:val="7EE62209"/>
    <w:rsid w:val="7F786881"/>
    <w:rsid w:val="7F817625"/>
    <w:rsid w:val="7FE11F3E"/>
    <w:rsid w:val="7FFC171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_GB2312" w:hAnsi="Calibri"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6"/>
    <w:qFormat/>
    <w:uiPriority w:val="9"/>
    <w:pPr>
      <w:keepNext/>
      <w:keepLines/>
      <w:spacing w:before="50" w:beforeLines="50" w:after="100" w:afterLines="100" w:line="600" w:lineRule="exact"/>
      <w:ind w:firstLine="0" w:firstLineChars="0"/>
      <w:jc w:val="center"/>
      <w:outlineLvl w:val="0"/>
    </w:pPr>
    <w:rPr>
      <w:rFonts w:eastAsia="黑体"/>
      <w:bCs/>
      <w:kern w:val="44"/>
      <w:sz w:val="32"/>
      <w:szCs w:val="44"/>
    </w:rPr>
  </w:style>
  <w:style w:type="paragraph" w:styleId="4">
    <w:name w:val="heading 2"/>
    <w:basedOn w:val="1"/>
    <w:next w:val="1"/>
    <w:link w:val="14"/>
    <w:unhideWhenUsed/>
    <w:qFormat/>
    <w:uiPriority w:val="9"/>
    <w:pPr>
      <w:keepNext/>
      <w:keepLines/>
      <w:spacing w:before="50" w:beforeLines="50" w:after="100" w:afterLines="100" w:line="500" w:lineRule="exact"/>
      <w:jc w:val="center"/>
      <w:outlineLvl w:val="1"/>
    </w:pPr>
    <w:rPr>
      <w:rFonts w:eastAsia="楷体_GB2312" w:asciiTheme="majorHAnsi" w:hAnsiTheme="majorHAnsi" w:cstheme="majorBidi"/>
      <w:bCs/>
      <w:sz w:val="30"/>
      <w:szCs w:val="32"/>
    </w:rPr>
  </w:style>
  <w:style w:type="character" w:default="1" w:styleId="9">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jc w:val="left"/>
    </w:pPr>
    <w:rPr>
      <w:rFonts w:eastAsia="仿宋_GB2312"/>
      <w:sz w:val="32"/>
      <w:szCs w:val="32"/>
    </w:rPr>
  </w:style>
  <w:style w:type="paragraph" w:styleId="5">
    <w:name w:val="Balloon Text"/>
    <w:basedOn w:val="1"/>
    <w:link w:val="17"/>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11">
    <w:name w:val="页眉 Char"/>
    <w:basedOn w:val="9"/>
    <w:link w:val="7"/>
    <w:semiHidden/>
    <w:qFormat/>
    <w:uiPriority w:val="99"/>
    <w:rPr>
      <w:sz w:val="18"/>
      <w:szCs w:val="18"/>
    </w:rPr>
  </w:style>
  <w:style w:type="character" w:customStyle="1" w:styleId="12">
    <w:name w:val="页脚 Char"/>
    <w:basedOn w:val="9"/>
    <w:link w:val="6"/>
    <w:semiHidden/>
    <w:qFormat/>
    <w:uiPriority w:val="99"/>
    <w:rPr>
      <w:sz w:val="18"/>
      <w:szCs w:val="18"/>
    </w:rPr>
  </w:style>
  <w:style w:type="paragraph" w:customStyle="1" w:styleId="13">
    <w:name w:val="题干"/>
    <w:basedOn w:val="1"/>
    <w:link w:val="15"/>
    <w:qFormat/>
    <w:uiPriority w:val="0"/>
    <w:pPr>
      <w:numPr>
        <w:ilvl w:val="0"/>
        <w:numId w:val="1"/>
      </w:numPr>
      <w:ind w:left="0" w:firstLine="420"/>
    </w:pPr>
    <w:rPr>
      <w:rFonts w:ascii="Times New Roman" w:hAnsi="Times New Roman" w:eastAsia="黑体" w:cs="Times New Roman"/>
      <w:szCs w:val="21"/>
    </w:rPr>
  </w:style>
  <w:style w:type="character" w:customStyle="1" w:styleId="14">
    <w:name w:val="标题 2 Char"/>
    <w:basedOn w:val="9"/>
    <w:link w:val="4"/>
    <w:qFormat/>
    <w:uiPriority w:val="9"/>
    <w:rPr>
      <w:rFonts w:eastAsia="楷体_GB2312" w:asciiTheme="majorHAnsi" w:hAnsiTheme="majorHAnsi" w:cstheme="majorBidi"/>
      <w:bCs/>
      <w:kern w:val="2"/>
      <w:sz w:val="30"/>
      <w:szCs w:val="32"/>
    </w:rPr>
  </w:style>
  <w:style w:type="character" w:customStyle="1" w:styleId="15">
    <w:name w:val="题干 Char"/>
    <w:basedOn w:val="9"/>
    <w:link w:val="13"/>
    <w:qFormat/>
    <w:uiPriority w:val="0"/>
    <w:rPr>
      <w:rFonts w:ascii="Times New Roman" w:hAnsi="Times New Roman" w:eastAsia="黑体"/>
      <w:kern w:val="2"/>
      <w:sz w:val="21"/>
      <w:szCs w:val="21"/>
    </w:rPr>
  </w:style>
  <w:style w:type="character" w:customStyle="1" w:styleId="16">
    <w:name w:val="标题 1 Char"/>
    <w:basedOn w:val="9"/>
    <w:link w:val="3"/>
    <w:qFormat/>
    <w:uiPriority w:val="9"/>
    <w:rPr>
      <w:rFonts w:eastAsia="黑体" w:asciiTheme="minorHAnsi" w:hAnsiTheme="minorHAnsi" w:cstheme="minorBidi"/>
      <w:bCs/>
      <w:kern w:val="44"/>
      <w:sz w:val="32"/>
      <w:szCs w:val="44"/>
    </w:rPr>
  </w:style>
  <w:style w:type="character" w:customStyle="1" w:styleId="17">
    <w:name w:val="批注框文本 Char"/>
    <w:basedOn w:val="9"/>
    <w:link w:val="5"/>
    <w:semiHidden/>
    <w:qFormat/>
    <w:uiPriority w:val="99"/>
    <w:rPr>
      <w:rFonts w:asciiTheme="minorHAnsi" w:hAnsiTheme="minorHAnsi" w:eastAsiaTheme="minorEastAsia" w:cstheme="minorBidi"/>
      <w:kern w:val="2"/>
      <w:sz w:val="18"/>
      <w:szCs w:val="18"/>
    </w:rPr>
  </w:style>
  <w:style w:type="paragraph" w:customStyle="1" w:styleId="18">
    <w:name w:val="List Paragraph"/>
    <w:basedOn w:val="1"/>
    <w:unhideWhenUsed/>
    <w:qFormat/>
    <w:uiPriority w:val="99"/>
    <w:pPr>
      <w:ind w:firstLine="420" w:firstLineChars="200"/>
    </w:pPr>
    <w:rPr>
      <w:szCs w:val="24"/>
    </w:rPr>
  </w:style>
  <w:style w:type="paragraph" w:customStyle="1" w:styleId="19">
    <w:name w:val="命题单位"/>
    <w:basedOn w:val="1"/>
    <w:qFormat/>
    <w:uiPriority w:val="0"/>
    <w:pPr>
      <w:spacing w:before="156" w:beforeLines="50" w:line="400" w:lineRule="exact"/>
      <w:ind w:firstLine="420" w:firstLineChars="200"/>
    </w:pPr>
    <w:rPr>
      <w:rFonts w:ascii="黑体" w:hAnsi="黑体" w:eastAsia="黑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43D57A-B3D4-4C4E-81EE-D8BA13BED6B4}">
  <ds:schemaRefs/>
</ds:datastoreItem>
</file>

<file path=docProps/app.xml><?xml version="1.0" encoding="utf-8"?>
<Properties xmlns="http://schemas.openxmlformats.org/officeDocument/2006/extended-properties" xmlns:vt="http://schemas.openxmlformats.org/officeDocument/2006/docPropsVTypes">
  <Template>Normal.dotm</Template>
  <Pages>60</Pages>
  <Words>7551</Words>
  <Characters>43042</Characters>
  <Lines>358</Lines>
  <Paragraphs>100</Paragraphs>
  <ScaleCrop>false</ScaleCrop>
  <LinksUpToDate>false</LinksUpToDate>
  <CharactersWithSpaces>50493</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2019-04-24T06:51:00Z</dcterms:created>
  <dc:creator>Sun</dc:creator>
  <cp:lastModifiedBy>admin</cp:lastModifiedBy>
  <cp:lastPrinted>2019-04-25T03:12:00Z</cp:lastPrinted>
  <dcterms:modified xsi:type="dcterms:W3CDTF">2021-06-03T08:10:43Z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562FF3711BC3444CA2CEA4186C399528</vt:lpwstr>
  </property>
</Properties>
</file>