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rPr>
          <w:rFonts w:hint="eastAsia" w:ascii="方正小标宋简体" w:hAnsi="方正小标宋简体" w:eastAsia="方正小标宋简体" w:cs="方正小标宋简体"/>
          <w:bCs/>
          <w:snapToGrid w:val="0"/>
          <w:color w:val="000000"/>
          <w:kern w:val="0"/>
          <w:sz w:val="36"/>
          <w:szCs w:val="36"/>
        </w:rPr>
      </w:pPr>
      <w:r>
        <w:rPr>
          <w:rFonts w:hint="eastAsia" w:ascii="楷体" w:hAnsi="楷体" w:eastAsia="楷体"/>
          <w:sz w:val="36"/>
          <w:szCs w:val="36"/>
        </w:rPr>
        <w:t>×××劳动人事争议仲裁委员会</w:t>
      </w:r>
    </w:p>
    <w:p>
      <w:pPr>
        <w:autoSpaceDE w:val="0"/>
        <w:autoSpaceDN w:val="0"/>
        <w:adjustRightInd w:val="0"/>
        <w:snapToGrid w:val="0"/>
        <w:spacing w:line="560" w:lineRule="exact"/>
        <w:jc w:val="center"/>
        <w:rPr>
          <w:rFonts w:hint="eastAsia" w:ascii="方正小标宋简体" w:hAnsi="宋体" w:eastAsia="方正小标宋简体" w:cs="宋体"/>
          <w:snapToGrid w:val="0"/>
          <w:color w:val="000000"/>
          <w:kern w:val="0"/>
          <w:sz w:val="44"/>
          <w:szCs w:val="44"/>
        </w:rPr>
      </w:pPr>
      <w:r>
        <w:rPr>
          <w:rFonts w:hint="eastAsia" w:ascii="方正小标宋简体" w:hAnsi="宋体" w:eastAsia="方正小标宋简体" w:cs="宋体"/>
          <w:snapToGrid w:val="0"/>
          <w:color w:val="000000"/>
          <w:kern w:val="0"/>
          <w:sz w:val="44"/>
          <w:szCs w:val="44"/>
        </w:rPr>
        <w:t>仲裁审查申请须知</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szCs w:val="44"/>
          <w:lang w:val="zh-CN"/>
        </w:rPr>
      </w:pPr>
    </w:p>
    <w:p>
      <w:pPr>
        <w:autoSpaceDE w:val="0"/>
        <w:autoSpaceDN w:val="0"/>
        <w:adjustRightInd w:val="0"/>
        <w:snapToGrid w:val="0"/>
        <w:spacing w:line="560" w:lineRule="exact"/>
        <w:ind w:firstLine="640" w:firstLineChars="200"/>
        <w:rPr>
          <w:rFonts w:hint="eastAsia" w:ascii="黑体" w:hAnsi="黑体" w:eastAsia="黑体" w:cs="黑体"/>
          <w:snapToGrid w:val="0"/>
          <w:color w:val="000000"/>
          <w:kern w:val="0"/>
          <w:lang w:val="zh-CN"/>
        </w:rPr>
      </w:pPr>
      <w:r>
        <w:rPr>
          <w:rFonts w:hint="eastAsia" w:ascii="黑体" w:hAnsi="黑体" w:eastAsia="黑体" w:cs="黑体"/>
          <w:snapToGrid w:val="0"/>
          <w:color w:val="000000"/>
          <w:kern w:val="0"/>
          <w:lang w:val="zh-CN"/>
        </w:rPr>
        <w:t>一、申请仲裁审查的范围</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经各类劳动人事争议调解组织（以下简称调解组织）调解后，达成的调解协议，双方当事人可以申请仲裁审查。</w:t>
      </w:r>
    </w:p>
    <w:p>
      <w:pPr>
        <w:autoSpaceDE w:val="0"/>
        <w:autoSpaceDN w:val="0"/>
        <w:adjustRightInd w:val="0"/>
        <w:snapToGrid w:val="0"/>
        <w:spacing w:line="560" w:lineRule="exact"/>
        <w:ind w:firstLine="640" w:firstLineChars="200"/>
        <w:rPr>
          <w:rFonts w:hint="eastAsia" w:ascii="黑体" w:hAnsi="黑体" w:eastAsia="黑体" w:cs="黑体"/>
          <w:snapToGrid w:val="0"/>
          <w:color w:val="000000"/>
          <w:kern w:val="0"/>
          <w:lang w:val="zh-CN"/>
        </w:rPr>
      </w:pPr>
      <w:r>
        <w:rPr>
          <w:rFonts w:hint="eastAsia" w:ascii="黑体" w:hAnsi="黑体" w:eastAsia="黑体" w:cs="黑体"/>
          <w:snapToGrid w:val="0"/>
          <w:color w:val="000000"/>
          <w:kern w:val="0"/>
          <w:lang w:val="zh-CN"/>
        </w:rPr>
        <w:t>二、提交仲裁审查注意事项</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（一）双方当事人应当共同提交仲裁审查申请；</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（二）该申请为双方当事人的真实意思表示；</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（三）申请仲裁审查的调解协议内容应当属于劳动人事争议仲裁的受理范围；</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（四）仲裁委员会具有管辖权；</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（五）申请书及有关材料应当齐备并符合要求。</w:t>
      </w:r>
    </w:p>
    <w:p>
      <w:pPr>
        <w:autoSpaceDE w:val="0"/>
        <w:autoSpaceDN w:val="0"/>
        <w:adjustRightInd w:val="0"/>
        <w:snapToGrid w:val="0"/>
        <w:spacing w:line="560" w:lineRule="exact"/>
        <w:ind w:firstLine="640" w:firstLineChars="200"/>
        <w:rPr>
          <w:rFonts w:hint="eastAsia" w:ascii="黑体" w:hAnsi="黑体" w:eastAsia="黑体" w:cs="黑体"/>
          <w:snapToGrid w:val="0"/>
          <w:color w:val="000000"/>
          <w:kern w:val="0"/>
          <w:lang w:val="zh-CN"/>
        </w:rPr>
      </w:pPr>
      <w:r>
        <w:rPr>
          <w:rFonts w:hint="eastAsia" w:ascii="黑体" w:hAnsi="黑体" w:eastAsia="黑体" w:cs="黑体"/>
          <w:snapToGrid w:val="0"/>
          <w:color w:val="000000"/>
          <w:kern w:val="0"/>
          <w:lang w:val="zh-CN"/>
        </w:rPr>
        <w:t>三、应当提交的书面材料</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（一）仲裁审查申请书；</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（二）调解协议；</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（三）承诺书；</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（四）身份证明、资格证明；</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（五）</w:t>
      </w:r>
      <w:r>
        <w:rPr>
          <w:rFonts w:hint="eastAsia" w:ascii="仿宋" w:hAnsi="仿宋" w:eastAsia="仿宋_GB2312" w:cs="仿宋"/>
          <w:snapToGrid w:val="0"/>
          <w:color w:val="000000"/>
          <w:kern w:val="0"/>
          <w:lang w:bidi="ar"/>
        </w:rPr>
        <w:t>其他与调解协议相关的证明材料</w:t>
      </w:r>
      <w:r>
        <w:rPr>
          <w:rFonts w:hint="eastAsia" w:ascii="仿宋" w:hAnsi="仿宋" w:eastAsia="仿宋_GB2312"/>
          <w:snapToGrid w:val="0"/>
          <w:color w:val="000000"/>
          <w:kern w:val="0"/>
          <w:lang w:val="zh-CN"/>
        </w:rPr>
        <w:t>。</w:t>
      </w:r>
    </w:p>
    <w:p>
      <w:pPr>
        <w:autoSpaceDE w:val="0"/>
        <w:autoSpaceDN w:val="0"/>
        <w:adjustRightInd w:val="0"/>
        <w:snapToGrid w:val="0"/>
        <w:spacing w:line="560" w:lineRule="exact"/>
        <w:ind w:firstLine="640" w:firstLineChars="200"/>
        <w:rPr>
          <w:rFonts w:hint="eastAsia" w:ascii="黑体" w:hAnsi="黑体" w:eastAsia="黑体" w:cs="黑体"/>
          <w:snapToGrid w:val="0"/>
          <w:color w:val="000000"/>
          <w:kern w:val="0"/>
          <w:lang w:val="zh-CN"/>
        </w:rPr>
      </w:pPr>
      <w:r>
        <w:rPr>
          <w:rFonts w:hint="eastAsia" w:ascii="黑体" w:hAnsi="黑体" w:eastAsia="黑体" w:cs="黑体"/>
          <w:snapToGrid w:val="0"/>
          <w:color w:val="000000"/>
          <w:kern w:val="0"/>
          <w:lang w:val="zh-CN"/>
        </w:rPr>
        <w:t>四、温馨提示</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（一）收到仲裁委员会的仲裁审查受理通知书后，如仲裁委员会要求当事人到庭的，请按时到庭。一方当事人经通知无正当理由拒不到庭或者未经同意中途退庭的，按撤回仲裁审查申请处理；</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（二）仲裁调解书经双方当事人签收后，发生法律效力；</w:t>
      </w:r>
    </w:p>
    <w:p>
      <w:pPr>
        <w:autoSpaceDE w:val="0"/>
        <w:autoSpaceDN w:val="0"/>
        <w:adjustRightInd w:val="0"/>
        <w:snapToGrid w:val="0"/>
        <w:spacing w:line="560" w:lineRule="exact"/>
        <w:ind w:firstLine="640" w:firstLineChars="200"/>
        <w:rPr>
          <w:rFonts w:hint="eastAsia" w:ascii="仿宋" w:hAnsi="仿宋" w:eastAsia="仿宋_GB2312"/>
          <w:snapToGrid w:val="0"/>
          <w:color w:val="000000"/>
          <w:kern w:val="0"/>
          <w:lang w:val="zh-CN"/>
        </w:rPr>
      </w:pPr>
      <w:r>
        <w:rPr>
          <w:rFonts w:hint="eastAsia" w:ascii="仿宋" w:hAnsi="仿宋" w:eastAsia="仿宋_GB2312"/>
          <w:snapToGrid w:val="0"/>
          <w:color w:val="000000"/>
          <w:kern w:val="0"/>
          <w:lang w:val="zh-CN"/>
        </w:rPr>
        <w:t>（三）一方当事人逾期不履行的，另一方当事人可以依法向人民法院申请强制执行。</w:t>
      </w:r>
    </w:p>
    <w:p>
      <w:r>
        <w:rPr>
          <w:rFonts w:hint="eastAsia" w:ascii="仿宋" w:hAnsi="仿宋" w:eastAsia="仿宋_GB2312"/>
          <w:snapToGrid w:val="0"/>
          <w:color w:val="000000"/>
          <w:kern w:val="0"/>
          <w:lang w:val="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C792B"/>
    <w:rsid w:val="2DC319FD"/>
    <w:rsid w:val="305C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2020-12-23T06:52:00Z</dcterms:created>
  <dc:creator>Administrator</dc:creator>
  <cp:lastModifiedBy>Administrator</cp:lastModifiedBy>
  <dcterms:modified xsi:type="dcterms:W3CDTF">2020-12-23T06:53:16Z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