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left"/>
        <w:rPr>
          <w:rFonts w:ascii="黑体" w:hAnsi="黑体" w:eastAsia="黑体"/>
          <w:sz w:val="32"/>
          <w:szCs w:val="32"/>
        </w:rPr>
      </w:pPr>
      <w:r>
        <w:rPr>
          <w:rFonts w:hint="eastAsia" w:ascii="黑体" w:hAnsi="黑体" w:eastAsia="黑体"/>
          <w:sz w:val="32"/>
          <w:szCs w:val="32"/>
        </w:rPr>
        <w:t>附表</w:t>
      </w:r>
    </w:p>
    <w:p>
      <w:pPr>
        <w:spacing w:line="500" w:lineRule="exact"/>
        <w:jc w:val="center"/>
        <w:rPr>
          <w:rFonts w:hint="eastAsia" w:ascii="方正小标宋简体" w:hAnsi="黑体" w:eastAsia="方正小标宋简体"/>
          <w:sz w:val="44"/>
          <w:szCs w:val="44"/>
        </w:rPr>
      </w:pPr>
      <w:r>
        <w:rPr>
          <w:rFonts w:hint="eastAsia" w:ascii="方正小标宋简体" w:hAnsi="黑体" w:eastAsia="方正小标宋简体"/>
          <w:sz w:val="44"/>
          <w:szCs w:val="44"/>
        </w:rPr>
        <w:t>全国农民工</w:t>
      </w:r>
      <w:bookmarkStart w:id="0" w:name="_GoBack"/>
      <w:bookmarkEnd w:id="0"/>
      <w:r>
        <w:rPr>
          <w:rFonts w:hint="eastAsia" w:ascii="方正小标宋简体" w:hAnsi="黑体" w:eastAsia="方正小标宋简体"/>
          <w:sz w:val="44"/>
          <w:szCs w:val="44"/>
          <w:lang w:eastAsia="zh-CN"/>
        </w:rPr>
        <w:t>工作先进集体</w:t>
      </w:r>
      <w:r>
        <w:rPr>
          <w:rFonts w:hint="eastAsia" w:ascii="方正小标宋简体" w:hAnsi="黑体" w:eastAsia="方正小标宋简体"/>
          <w:sz w:val="44"/>
          <w:szCs w:val="44"/>
        </w:rPr>
        <w:t>报审表</w:t>
      </w:r>
    </w:p>
    <w:tbl>
      <w:tblPr>
        <w:tblStyle w:val="5"/>
        <w:tblW w:w="9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7"/>
        <w:gridCol w:w="1363"/>
        <w:gridCol w:w="1203"/>
        <w:gridCol w:w="1547"/>
        <w:gridCol w:w="1376"/>
        <w:gridCol w:w="2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377"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单位名称</w:t>
            </w:r>
          </w:p>
        </w:tc>
        <w:tc>
          <w:tcPr>
            <w:tcW w:w="7647" w:type="dxa"/>
            <w:gridSpan w:val="5"/>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菏泽市返乡创业服务中心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377"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单位地址</w:t>
            </w:r>
          </w:p>
        </w:tc>
        <w:tc>
          <w:tcPr>
            <w:tcW w:w="7647" w:type="dxa"/>
            <w:gridSpan w:val="5"/>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菏泽市牡丹区桂陵路3999号菏泽市人力资源和社会保障局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377"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单位性质</w:t>
            </w:r>
          </w:p>
        </w:tc>
        <w:tc>
          <w:tcPr>
            <w:tcW w:w="1363"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公益一类</w:t>
            </w:r>
          </w:p>
        </w:tc>
        <w:tc>
          <w:tcPr>
            <w:tcW w:w="1203"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法人</w:t>
            </w:r>
          </w:p>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代表</w:t>
            </w:r>
          </w:p>
        </w:tc>
        <w:tc>
          <w:tcPr>
            <w:tcW w:w="1547"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王海林</w:t>
            </w:r>
          </w:p>
        </w:tc>
        <w:tc>
          <w:tcPr>
            <w:tcW w:w="1376" w:type="dxa"/>
            <w:vAlign w:val="center"/>
          </w:tcPr>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联系</w:t>
            </w:r>
          </w:p>
          <w:p>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电话</w:t>
            </w:r>
          </w:p>
        </w:tc>
        <w:tc>
          <w:tcPr>
            <w:tcW w:w="2158" w:type="dxa"/>
            <w:vAlign w:val="center"/>
          </w:tcPr>
          <w:p>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0530-5160160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9" w:hRule="atLeast"/>
          <w:jc w:val="center"/>
        </w:trPr>
        <w:tc>
          <w:tcPr>
            <w:tcW w:w="1377" w:type="dxa"/>
            <w:vAlign w:val="center"/>
          </w:tcPr>
          <w:p>
            <w:pPr>
              <w:jc w:val="center"/>
              <w:rPr>
                <w:vertAlign w:val="baseline"/>
              </w:rPr>
            </w:pPr>
            <w:r>
              <w:rPr>
                <w:rFonts w:hint="eastAsia" w:ascii="仿宋_GB2312" w:hAnsi="宋体" w:eastAsia="仿宋_GB2312"/>
                <w:sz w:val="24"/>
                <w:szCs w:val="24"/>
              </w:rPr>
              <w:t>先进事迹（可加页）</w:t>
            </w:r>
          </w:p>
        </w:tc>
        <w:tc>
          <w:tcPr>
            <w:tcW w:w="7647" w:type="dxa"/>
            <w:gridSpan w:val="5"/>
            <w:vAlign w:val="center"/>
          </w:tcPr>
          <w:p>
            <w:pPr>
              <w:ind w:firstLine="420" w:firstLineChars="20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菏泽市返乡创业服务中心成立于2017年9月28日，为菏泽市政府直属正县级公益一类事业单位，主要负责贯彻执行国家、省、市关于促进在外人员返乡创业的方针政策，统筹推进全市返乡创业工作，直接为在外农民工返乡创业提供服务。</w:t>
            </w:r>
          </w:p>
          <w:p>
            <w:pPr>
              <w:ind w:firstLine="420" w:firstLineChars="20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菏泽市户籍人口1025万，常住人口878万，全市常年在外创业就业农民工约有150万人。为吸引农民工返乡创业，助力乡村振兴，实现农村社会和谐稳定，菏泽市开始大力实施“归雁兴菏”行动，专门设立工作机构——菏泽市返乡创业服务中心。机构成立以来，坚持以习近平新时代中国特色社会主义思想为指导，深入贯彻落实党的十九大和十九届二中、三中、四中全会精神及《国务院关于解决农民工问题的若干意见》等政策文件，按照《菏泽市推进返乡创业工作三年行动计划（2018-2020年）》，以服务农民工返乡创业为目标，以解决城乡发展不平衡、不充分问题为重点，解放思想、开拓创新、真抓实干、迎难而上，有力的促进了菏泽市在外农民工返乡创业工作。菏泽市返乡创业服务中心也在2018年、2019年全市绩效考核中，连续两年被评为“优秀单位”。开展返乡创业工作以来，全市共有29.17万人返乡创业就业，领办创办经济实体10.58万家，带动就业50余万人，引进过亿元返乡创业项目211个，总投资575.59亿元。菏泽市返乡创业工作被中国就业促进会2018、2019连续两年评为“地方就业创新事件”；中央电视台以“返乡”为题，对菏泽返乡创业工作进行了专题报道；山东省政府在《关于加快鲁南经济圈一体化发展的指导意见》中明确提出，要“推广菏泽‘归雁经济’经验”。省人社厅2018年在菏泽召开全省返乡下乡创业工作现场推进会，向全省推广返乡创业“菏泽模式”。</w:t>
            </w:r>
          </w:p>
          <w:p>
            <w:pPr>
              <w:ind w:firstLine="420" w:firstLineChars="20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为鼓励吸引农民工返乡创业，菏泽市返乡创业服务中心积极协调有关部门，牵头起草了《关于进一步促进在外人员返乡创业的实施意见》，从创业环境、创业补贴、子女入学等多方面为返乡农民工解决创业难题。同时，菏泽市返乡创业服务中心大胆创新，设立了“菏泽市返乡创业承办银行”，有效解决了农民工返乡创业融资难、融资贵、融资慢的问题。</w:t>
            </w:r>
          </w:p>
          <w:p>
            <w:pPr>
              <w:ind w:firstLine="420" w:firstLineChars="20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为加强与在外创业就业农民工的沟通交流，菏泽市返乡创业服务中心在菏泽农民工较为集中的内陆省会城市及发达地区分别建立了“返乡创业服务站”。聘任有热情、有威望、有担当、愿付出的菏泽籍企业家担任服务站站长，为在外农民工搭建联系家乡的桥梁，并以此为窗口对外推介宣传菏泽经济发展情况、创业优惠政策，吸引广大在外农民工返乡就业创业。经过不断努力，目前已设立了246家返乡创业服务站，其中市级站38家、县级站208家，形成了覆盖全国的返乡创业服务网络。各服务站现已举办宣传动员活动1200余场，参会人员达25万人次，辐射影响近百万人。全市落地的211个过亿元返乡创业项目中，70%为服务站推荐。</w:t>
            </w:r>
          </w:p>
          <w:p>
            <w:pPr>
              <w:ind w:firstLine="420" w:firstLineChars="20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为更好向在外人员提供精准高效服务，菏泽在全市范围内打造了73家创业示范平台，其中省级6家，市级24家。2020年，由市政府出资，菏泽市返乡创业服务中心建成了“菏泽市返乡创业孵化基地”，为返乡创业人员打造“3免4提供”的创业服务平台，即：免费提供创业场所、免费提供物业管理、免收水电物业管理费用，提供创业咨询、创业指导、创业培训及创业期间的相关配套服务。目前，基地已入驻53家返乡创业项目，并被列为2020年度“全国大众创业万众创新活动周”20个主题展示项目之一。</w:t>
            </w:r>
          </w:p>
          <w:p>
            <w:pPr>
              <w:ind w:firstLine="420" w:firstLineChars="20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为充分发挥典型示范引领作用，菏泽市返乡创业服务中心以市政府名义，连续多年开展评选“市长创业奖”“归雁之星”等活动，机构成立以来，共有50余位优秀返乡创业农民工获评“市长创业奖”“归雁之星”荣誉称号。积极推荐典型代表参加全省“十大返乡创业农名工”评选活动，在2018、2019两届评选活动中，菏泽市返乡创业服务中心已推荐3人获省级“十大返乡创业农民工”荣誉称号。</w:t>
            </w:r>
          </w:p>
          <w:p>
            <w:pPr>
              <w:ind w:firstLine="420" w:firstLineChars="20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为帮助贫困群在家门口实现就业，菏泽市返乡创业服务中心积极与扶贫工作机构联系对接，及时向各返乡创业服务站推送全市扶贫车间信息，鼓励返乡创业农民工利用扶贫车间创办项目，通过保底分红、股份合作等多种形式，带动贫困群众脱贫致富。目前，全市3063个扶贫车间中，60%以上由返乡创业人员经营。</w:t>
            </w:r>
          </w:p>
          <w:p>
            <w:pPr>
              <w:ind w:firstLine="420" w:firstLineChars="200"/>
              <w:jc w:val="both"/>
              <w:rPr>
                <w:rFonts w:hint="eastAsia" w:ascii="仿宋" w:hAnsi="仿宋" w:eastAsia="仿宋" w:cs="仿宋"/>
                <w:sz w:val="21"/>
                <w:szCs w:val="21"/>
              </w:rPr>
            </w:pPr>
            <w:r>
              <w:rPr>
                <w:rFonts w:hint="eastAsia" w:ascii="仿宋" w:hAnsi="仿宋" w:eastAsia="仿宋" w:cs="仿宋"/>
                <w:sz w:val="21"/>
                <w:szCs w:val="21"/>
                <w:lang w:val="en-US" w:eastAsia="zh-CN"/>
              </w:rPr>
              <w:t>2020年新冠疫情发生后，菏泽市返乡创业服务中心积极参与疫情防控工作，第一时间向各地返乡创业服务站下发《全力抗击新型冠状病毒感染的肺炎的通知》，引导在外农民工正确看待疫情，加强疫情防控意识，确保自身安全；要求菏泽市返乡创业（武汉）服务站，安抚动员在鄂山东老乡，服从当地政府安排，做好自身防护。在了解到全市出现防控物资短缺的情况后，市返乡创业服务中心及时向全国各地返乡创业服务站发出倡议，动员广大在外菏泽籍企业家和返乡创业企业发扬“一方有难、八方支援”的精神，积极支持家乡疫情防控。疫情期间，动员各返乡创业服务站、返乡创业企业捐资捐物共计价值630万元。</w:t>
            </w:r>
          </w:p>
          <w:p>
            <w:pPr>
              <w:ind w:firstLine="420" w:firstLineChars="200"/>
              <w:jc w:val="both"/>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0" w:hRule="atLeast"/>
          <w:jc w:val="center"/>
        </w:trPr>
        <w:tc>
          <w:tcPr>
            <w:tcW w:w="1377" w:type="dxa"/>
            <w:vAlign w:val="center"/>
          </w:tcPr>
          <w:p>
            <w:pPr>
              <w:jc w:val="both"/>
              <w:rPr>
                <w:vertAlign w:val="baseline"/>
              </w:rPr>
            </w:pPr>
            <w:r>
              <w:rPr>
                <w:rFonts w:hint="eastAsia" w:ascii="仿宋_GB2312" w:hAnsi="宋体" w:eastAsia="仿宋_GB2312"/>
                <w:sz w:val="24"/>
                <w:szCs w:val="24"/>
              </w:rPr>
              <w:t>省</w:t>
            </w:r>
            <w:r>
              <w:rPr>
                <w:rFonts w:hint="eastAsia" w:ascii="仿宋_GB2312" w:hAnsi="宋体" w:eastAsia="仿宋_GB2312"/>
                <w:sz w:val="24"/>
                <w:szCs w:val="24"/>
                <w:lang w:eastAsia="zh-CN"/>
              </w:rPr>
              <w:t>部</w:t>
            </w:r>
            <w:r>
              <w:rPr>
                <w:rFonts w:hint="eastAsia" w:ascii="仿宋_GB2312" w:hAnsi="宋体" w:eastAsia="仿宋_GB2312"/>
                <w:sz w:val="24"/>
                <w:szCs w:val="24"/>
              </w:rPr>
              <w:t>级评选表彰</w:t>
            </w:r>
            <w:r>
              <w:rPr>
                <w:rFonts w:hint="eastAsia" w:ascii="仿宋_GB2312" w:hAnsi="宋体" w:eastAsia="仿宋_GB2312"/>
                <w:sz w:val="24"/>
                <w:szCs w:val="24"/>
                <w:lang w:eastAsia="zh-CN"/>
              </w:rPr>
              <w:t>工作</w:t>
            </w:r>
            <w:r>
              <w:rPr>
                <w:rFonts w:hint="eastAsia" w:ascii="仿宋_GB2312" w:hAnsi="宋体" w:eastAsia="仿宋_GB2312"/>
                <w:sz w:val="24"/>
                <w:szCs w:val="24"/>
              </w:rPr>
              <w:t>机构推荐意见</w:t>
            </w:r>
          </w:p>
        </w:tc>
        <w:tc>
          <w:tcPr>
            <w:tcW w:w="7647" w:type="dxa"/>
            <w:gridSpan w:val="5"/>
            <w:vAlign w:val="bottom"/>
          </w:tcPr>
          <w:p>
            <w:pPr>
              <w:jc w:val="center"/>
              <w:rPr>
                <w:rFonts w:ascii="仿宋_GB2312" w:hAnsi="宋体" w:eastAsia="仿宋_GB2312"/>
                <w:sz w:val="24"/>
                <w:szCs w:val="24"/>
              </w:rPr>
            </w:pPr>
            <w:r>
              <w:rPr>
                <w:rFonts w:hint="eastAsia" w:ascii="仿宋_GB2312" w:hAnsi="宋体" w:eastAsia="仿宋_GB2312"/>
                <w:sz w:val="24"/>
                <w:szCs w:val="24"/>
                <w:lang w:val="en-US" w:eastAsia="zh-CN"/>
              </w:rPr>
              <w:t xml:space="preserve">       </w:t>
            </w:r>
            <w:r>
              <w:rPr>
                <w:rFonts w:hint="eastAsia" w:ascii="仿宋_GB2312" w:hAnsi="宋体" w:eastAsia="仿宋_GB2312"/>
                <w:sz w:val="24"/>
                <w:szCs w:val="24"/>
              </w:rPr>
              <w:t>（</w:t>
            </w:r>
            <w:r>
              <w:rPr>
                <w:rFonts w:hint="eastAsia" w:ascii="仿宋_GB2312" w:hAnsi="宋体" w:eastAsia="仿宋_GB2312"/>
                <w:sz w:val="24"/>
                <w:szCs w:val="24"/>
                <w:lang w:eastAsia="zh-CN"/>
              </w:rPr>
              <w:t>盖</w:t>
            </w:r>
            <w:r>
              <w:rPr>
                <w:rFonts w:hint="eastAsia" w:ascii="仿宋_GB2312" w:hAnsi="宋体" w:eastAsia="仿宋_GB2312"/>
                <w:sz w:val="24"/>
                <w:szCs w:val="24"/>
                <w:lang w:val="en-US" w:eastAsia="zh-CN"/>
              </w:rPr>
              <w:t xml:space="preserve">  </w:t>
            </w:r>
            <w:r>
              <w:rPr>
                <w:rFonts w:hint="eastAsia" w:ascii="仿宋_GB2312" w:hAnsi="宋体" w:eastAsia="仿宋_GB2312"/>
                <w:sz w:val="24"/>
                <w:szCs w:val="24"/>
                <w:lang w:eastAsia="zh-CN"/>
              </w:rPr>
              <w:t>章</w:t>
            </w:r>
            <w:r>
              <w:rPr>
                <w:rFonts w:ascii="仿宋_GB2312" w:hAnsi="宋体" w:eastAsia="仿宋_GB2312"/>
                <w:sz w:val="24"/>
                <w:szCs w:val="24"/>
              </w:rPr>
              <w:t>）</w:t>
            </w:r>
          </w:p>
          <w:p>
            <w:pPr>
              <w:jc w:val="right"/>
              <w:rPr>
                <w:vertAlign w:val="baseline"/>
              </w:rPr>
            </w:pPr>
            <w:r>
              <w:rPr>
                <w:rFonts w:hint="eastAsia" w:ascii="仿宋_GB2312" w:hAnsi="宋体" w:eastAsia="仿宋_GB231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2" w:hRule="atLeast"/>
          <w:jc w:val="center"/>
        </w:trPr>
        <w:tc>
          <w:tcPr>
            <w:tcW w:w="1377" w:type="dxa"/>
            <w:vAlign w:val="center"/>
          </w:tcPr>
          <w:p>
            <w:pPr>
              <w:jc w:val="both"/>
              <w:rPr>
                <w:vertAlign w:val="baseline"/>
              </w:rPr>
            </w:pPr>
            <w:r>
              <w:rPr>
                <w:rFonts w:hint="eastAsia" w:ascii="仿宋_GB2312" w:hAnsi="宋体" w:eastAsia="仿宋_GB2312"/>
                <w:sz w:val="24"/>
                <w:szCs w:val="24"/>
              </w:rPr>
              <w:t>全国评选表彰委员会审核意见</w:t>
            </w:r>
          </w:p>
        </w:tc>
        <w:tc>
          <w:tcPr>
            <w:tcW w:w="7647" w:type="dxa"/>
            <w:gridSpan w:val="5"/>
            <w:vAlign w:val="bottom"/>
          </w:tcPr>
          <w:p>
            <w:pPr>
              <w:jc w:val="right"/>
              <w:rPr>
                <w:rFonts w:ascii="仿宋_GB2312" w:hAnsi="宋体" w:eastAsia="仿宋_GB2312"/>
                <w:sz w:val="24"/>
                <w:szCs w:val="24"/>
              </w:rPr>
            </w:pPr>
            <w:r>
              <w:rPr>
                <w:rFonts w:hint="eastAsia" w:ascii="仿宋_GB2312" w:hAnsi="宋体" w:eastAsia="仿宋_GB2312"/>
                <w:sz w:val="24"/>
                <w:szCs w:val="24"/>
                <w:lang w:val="en-US" w:eastAsia="zh-CN"/>
              </w:rPr>
              <w:t xml:space="preserve">                 </w:t>
            </w:r>
            <w:r>
              <w:rPr>
                <w:rFonts w:hint="eastAsia" w:ascii="仿宋_GB2312" w:hAnsi="宋体" w:eastAsia="仿宋_GB2312"/>
                <w:sz w:val="24"/>
                <w:szCs w:val="24"/>
              </w:rPr>
              <w:t>（</w:t>
            </w:r>
            <w:r>
              <w:rPr>
                <w:rFonts w:hint="eastAsia" w:ascii="仿宋_GB2312" w:hAnsi="宋体" w:eastAsia="仿宋_GB2312"/>
                <w:sz w:val="24"/>
                <w:szCs w:val="24"/>
                <w:lang w:eastAsia="zh-CN"/>
              </w:rPr>
              <w:t>国务院农民工工作领导小组办公室</w:t>
            </w:r>
            <w:r>
              <w:rPr>
                <w:rFonts w:ascii="仿宋_GB2312" w:hAnsi="宋体" w:eastAsia="仿宋_GB2312"/>
                <w:sz w:val="24"/>
                <w:szCs w:val="24"/>
              </w:rPr>
              <w:t>代章）</w:t>
            </w:r>
          </w:p>
          <w:p>
            <w:pPr>
              <w:jc w:val="right"/>
              <w:rPr>
                <w:vertAlign w:val="baseline"/>
              </w:rPr>
            </w:pPr>
            <w:r>
              <w:rPr>
                <w:rFonts w:hint="eastAsia" w:ascii="仿宋_GB2312" w:hAnsi="宋体" w:eastAsia="仿宋_GB2312"/>
                <w:sz w:val="24"/>
                <w:szCs w:val="24"/>
              </w:rPr>
              <w:t xml:space="preserve">                                    年      月      日</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70" w:lineRule="exact"/>
        <w:jc w:val="both"/>
        <w:textAlignment w:val="auto"/>
        <w:rPr>
          <w:rFonts w:hint="eastAsia" w:ascii="黑体" w:hAnsi="黑体" w:eastAsia="黑体" w:cs="黑体"/>
          <w:sz w:val="32"/>
          <w:szCs w:val="32"/>
          <w:lang w:val="en-US" w:eastAsia="zh-CN"/>
        </w:rPr>
        <w:sectPr>
          <w:pgSz w:w="11906" w:h="16838"/>
          <w:pgMar w:top="2098" w:right="1474" w:bottom="1984" w:left="1587" w:header="851" w:footer="992" w:gutter="0"/>
          <w:pgNumType w:fmt="numberInDash"/>
          <w:cols w:space="425" w:num="1"/>
          <w:docGrid w:type="lines" w:linePitch="312" w:charSpace="0"/>
        </w:sectPr>
      </w:pPr>
    </w:p>
    <w:p/>
    <w:sectPr>
      <w:footerReference r:id="rId3" w:type="default"/>
      <w:pgSz w:w="11906" w:h="16838"/>
      <w:pgMar w:top="2098" w:right="1474" w:bottom="1984" w:left="1587" w:header="851" w:footer="1417"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posOffset>2411730</wp:posOffset>
              </wp:positionH>
              <wp:positionV relativeFrom="paragraph">
                <wp:posOffset>-30480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89.9pt;margin-top:-2.4pt;height:144pt;width:144pt;mso-position-horizontal-relative:margin;mso-wrap-style:none;z-index:251659264;mso-width-relative:page;mso-height-relative:page;" filled="f" stroked="f" coordsize="21600,21600" o:gfxdata="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q+RFWtgAAAAKAQAADwAAAAAA&#10;AAABACAAAAAiAAAAZHJzL2Rvd25yZXYueG1sUEsBAhQAFAAAAAgAh07iQAXccrATAgAAEwQAAA4A&#10;AAAAAAAAAQAgAAAAJwEAAGRycy9lMm9Eb2MueG1sUEsFBgAAAAAGAAYAWQEAAKwFAAAAAA==&#10;">
              <v:fill on="f" focussize="0,0"/>
              <v:stroke on="f" weight="0.5pt"/>
              <v:imagedata o:title=""/>
              <o:lock v:ext="edit" aspectratio="f"/>
              <v:textbox inset="0mm,0mm,0mm,0mm" style="mso-fit-shape-to-text:t;">
                <w:txbxContent>
                  <w:p>
                    <w:pPr>
                      <w:pStyle w:val="2"/>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82554F"/>
    <w:rsid w:val="11E1400C"/>
    <w:rsid w:val="1512408A"/>
    <w:rsid w:val="20D43590"/>
    <w:rsid w:val="243E6932"/>
    <w:rsid w:val="4547773D"/>
    <w:rsid w:val="5282554F"/>
    <w:rsid w:val="536E5E66"/>
    <w:rsid w:val="58A46709"/>
    <w:rsid w:val="73076D5E"/>
    <w:rsid w:val="7D0E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Emphasis"/>
    <w:basedOn w:val="6"/>
    <w:qFormat/>
    <w:uiPriority w:val="0"/>
    <w:rPr>
      <w:i/>
    </w:rPr>
  </w:style>
  <w:style w:type="character" w:styleId="8">
    <w:name w:val="Hyperlink"/>
    <w:basedOn w:val="6"/>
    <w:qFormat/>
    <w:uiPriority w:val="0"/>
    <w:rPr>
      <w:color w:val="0000FF"/>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2020-09-28T09:09:00Z</dcterms:created>
  <dc:creator>mr  li</dc:creator>
  <cp:lastModifiedBy>新风化雨</cp:lastModifiedBy>
  <cp:lastPrinted>2020-10-13T08:29:42Z</cp:lastPrinted>
  <dcterms:modified xsi:type="dcterms:W3CDTF">2020-10-13T08:36:04Z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