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附表</w:t>
      </w:r>
    </w:p>
    <w:p>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全国农民工工作先进集体报审表</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8"/>
          <w:szCs w:val="28"/>
          <w:lang w:val="en-US" w:eastAsia="zh-CN"/>
        </w:rPr>
      </w:pPr>
    </w:p>
    <w:tbl>
      <w:tblPr>
        <w:tblStyle w:val="3"/>
        <w:tblW w:w="88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1608"/>
        <w:gridCol w:w="1598"/>
        <w:gridCol w:w="1180"/>
        <w:gridCol w:w="1294"/>
        <w:gridCol w:w="1421"/>
        <w:gridCol w:w="1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546" w:hRule="atLeast"/>
        </w:trPr>
        <w:tc>
          <w:tcPr>
            <w:tcW w:w="1608" w:type="dxa"/>
            <w:vAlign w:val="center"/>
          </w:tcPr>
          <w:p>
            <w:pPr>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单位名称</w:t>
            </w:r>
          </w:p>
        </w:tc>
        <w:tc>
          <w:tcPr>
            <w:tcW w:w="7237" w:type="dxa"/>
            <w:gridSpan w:val="5"/>
            <w:vAlign w:val="center"/>
          </w:tcPr>
          <w:p>
            <w:pPr>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山东省住房和城乡建设厅建筑市场监管处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552" w:hRule="atLeast"/>
        </w:trPr>
        <w:tc>
          <w:tcPr>
            <w:tcW w:w="1608" w:type="dxa"/>
            <w:vAlign w:val="center"/>
          </w:tcPr>
          <w:p>
            <w:pPr>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单位地址</w:t>
            </w:r>
          </w:p>
        </w:tc>
        <w:tc>
          <w:tcPr>
            <w:tcW w:w="7237" w:type="dxa"/>
            <w:gridSpan w:val="5"/>
            <w:vAlign w:val="center"/>
          </w:tcPr>
          <w:p>
            <w:pPr>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济南市经五路小纬四路46号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705" w:hRule="atLeast"/>
        </w:trPr>
        <w:tc>
          <w:tcPr>
            <w:tcW w:w="1608" w:type="dxa"/>
            <w:vAlign w:val="center"/>
          </w:tcPr>
          <w:p>
            <w:pPr>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单位性质</w:t>
            </w:r>
          </w:p>
        </w:tc>
        <w:tc>
          <w:tcPr>
            <w:tcW w:w="1598" w:type="dxa"/>
            <w:vAlign w:val="center"/>
          </w:tcPr>
          <w:p>
            <w:pPr>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省直机关</w:t>
            </w:r>
          </w:p>
        </w:tc>
        <w:tc>
          <w:tcPr>
            <w:tcW w:w="1180" w:type="dxa"/>
            <w:vAlign w:val="center"/>
          </w:tcPr>
          <w:p>
            <w:pPr>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法人</w:t>
            </w:r>
          </w:p>
          <w:p>
            <w:pPr>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代表</w:t>
            </w:r>
          </w:p>
        </w:tc>
        <w:tc>
          <w:tcPr>
            <w:tcW w:w="1294" w:type="dxa"/>
            <w:vAlign w:val="center"/>
          </w:tcPr>
          <w:p>
            <w:pPr>
              <w:jc w:val="center"/>
              <w:rPr>
                <w:rFonts w:hint="eastAsia" w:ascii="仿宋" w:hAnsi="仿宋" w:eastAsia="仿宋" w:cs="仿宋"/>
                <w:sz w:val="28"/>
                <w:szCs w:val="28"/>
                <w:vertAlign w:val="baseline"/>
                <w:lang w:val="en-US" w:eastAsia="zh-CN"/>
              </w:rPr>
            </w:pPr>
            <w:bookmarkStart w:id="0" w:name="_GoBack"/>
            <w:bookmarkEnd w:id="0"/>
          </w:p>
        </w:tc>
        <w:tc>
          <w:tcPr>
            <w:tcW w:w="1421" w:type="dxa"/>
            <w:vAlign w:val="center"/>
          </w:tcPr>
          <w:p>
            <w:pPr>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联系</w:t>
            </w:r>
          </w:p>
          <w:p>
            <w:pPr>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电话</w:t>
            </w:r>
          </w:p>
        </w:tc>
        <w:tc>
          <w:tcPr>
            <w:tcW w:w="1744" w:type="dxa"/>
            <w:vAlign w:val="center"/>
          </w:tcPr>
          <w:p>
            <w:pPr>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87086921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759" w:hRule="atLeast"/>
        </w:trPr>
        <w:tc>
          <w:tcPr>
            <w:tcW w:w="1608" w:type="dxa"/>
            <w:vAlign w:val="center"/>
          </w:tcPr>
          <w:p>
            <w:pPr>
              <w:jc w:val="center"/>
              <w:rPr>
                <w:rFonts w:hint="eastAsia"/>
                <w:sz w:val="28"/>
                <w:szCs w:val="28"/>
                <w:vertAlign w:val="baseline"/>
                <w:lang w:val="en-US" w:eastAsia="zh-CN"/>
              </w:rPr>
            </w:pPr>
            <w:r>
              <w:rPr>
                <w:rFonts w:hint="eastAsia"/>
                <w:sz w:val="28"/>
                <w:szCs w:val="28"/>
                <w:vertAlign w:val="baseline"/>
                <w:lang w:val="en-US" w:eastAsia="zh-CN"/>
              </w:rPr>
              <w:t>先进事迹</w:t>
            </w:r>
          </w:p>
          <w:p>
            <w:pPr>
              <w:jc w:val="center"/>
              <w:rPr>
                <w:rFonts w:hint="eastAsia"/>
                <w:sz w:val="28"/>
                <w:szCs w:val="28"/>
                <w:vertAlign w:val="baseline"/>
                <w:lang w:val="en-US" w:eastAsia="zh-CN"/>
              </w:rPr>
            </w:pPr>
            <w:r>
              <w:rPr>
                <w:rFonts w:hint="eastAsia"/>
                <w:sz w:val="28"/>
                <w:szCs w:val="28"/>
                <w:vertAlign w:val="baseline"/>
                <w:lang w:val="en-US" w:eastAsia="zh-CN"/>
              </w:rPr>
              <w:t>（可加页）</w:t>
            </w:r>
          </w:p>
        </w:tc>
        <w:tc>
          <w:tcPr>
            <w:tcW w:w="7237" w:type="dxa"/>
            <w:gridSpan w:val="5"/>
            <w:vAlign w:val="top"/>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0"/>
              <w:jc w:val="both"/>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山东省住房和城乡建设厅建筑市场监管处承担了全省建筑农民工的综合管理工作，近年来在贯彻落实《保障农民工工资支付条例》、稳定建筑农民工就业、维护农民工薪酬权益等方面，做了大量工作，特别是今年以来统筹推进疫情防控和开复工取得积极成效，为“六稳六保”工作作出积极贡献。</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0"/>
              <w:jc w:val="both"/>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b/>
                <w:bCs/>
                <w:sz w:val="28"/>
                <w:szCs w:val="28"/>
                <w:vertAlign w:val="baseline"/>
                <w:lang w:val="en-US" w:eastAsia="zh-CN"/>
              </w:rPr>
              <w:t>一是抓学习宣贯，营造良好法治环境。</w:t>
            </w:r>
            <w:r>
              <w:rPr>
                <w:rFonts w:hint="eastAsia" w:ascii="仿宋" w:hAnsi="仿宋" w:eastAsia="仿宋" w:cs="仿宋"/>
                <w:sz w:val="28"/>
                <w:szCs w:val="28"/>
                <w:vertAlign w:val="baseline"/>
                <w:lang w:val="en-US" w:eastAsia="zh-CN"/>
              </w:rPr>
              <w:t>组织全省住建领域负责建筑农民工工作的机关干部、执法人员和所有用工单位开展《保障农民工工资支付条例》轮训，组织普法宣传进企业、进工地，现场为用人单位和农民工解读《条例》和有关工资支付政策，提高用工单位依法支付工资责任感，引导农民工依法维护薪资权益。</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0"/>
              <w:jc w:val="both"/>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b/>
                <w:bCs/>
                <w:sz w:val="28"/>
                <w:szCs w:val="28"/>
                <w:vertAlign w:val="baseline"/>
                <w:lang w:val="en-US" w:eastAsia="zh-CN"/>
              </w:rPr>
              <w:t>二是抓平台建设，全面推行实名制管理。</w:t>
            </w:r>
            <w:r>
              <w:rPr>
                <w:rFonts w:hint="eastAsia" w:ascii="仿宋" w:hAnsi="仿宋" w:eastAsia="仿宋" w:cs="仿宋"/>
                <w:sz w:val="28"/>
                <w:szCs w:val="28"/>
                <w:vertAlign w:val="baseline"/>
                <w:lang w:val="en-US" w:eastAsia="zh-CN"/>
              </w:rPr>
              <w:t>推动山东省农民工工资支付监管平台与全国建筑工人管理服务信息平台对接共享，督促符合条件的房建市政项目纳入平台监管，实现农民工工资支付监管信息化。截至2020年9月底，全省共计11878个房建市政项目，209万农民工纳入平台监管。</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0"/>
              <w:jc w:val="both"/>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b/>
                <w:bCs/>
                <w:sz w:val="28"/>
                <w:szCs w:val="28"/>
                <w:vertAlign w:val="baseline"/>
                <w:lang w:val="en-US" w:eastAsia="zh-CN"/>
              </w:rPr>
              <w:t>三是抓开工复工，保障农民工充分就业。</w:t>
            </w:r>
            <w:r>
              <w:rPr>
                <w:rFonts w:hint="eastAsia" w:ascii="仿宋" w:hAnsi="仿宋" w:eastAsia="仿宋" w:cs="仿宋"/>
                <w:sz w:val="28"/>
                <w:szCs w:val="28"/>
                <w:vertAlign w:val="baseline"/>
                <w:lang w:val="en-US" w:eastAsia="zh-CN"/>
              </w:rPr>
              <w:t>坚决贯彻落实中央和省委关于统筹推进疫情防控和经济社会发展的决策部署，及时出台税费缓免、增列防控费、合同延期、项目审批容缺受理、优化招投标流程、加大信用激励等措施，积极组织施工企业包车、包列“点对点”接送建筑工人返程返岗，推动全省上万个房建市政工程应开尽开，累计为300余万建筑农民工提供了就业机会。</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0"/>
              <w:jc w:val="both"/>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b/>
                <w:bCs/>
                <w:sz w:val="28"/>
                <w:szCs w:val="28"/>
                <w:vertAlign w:val="baseline"/>
                <w:lang w:val="en-US" w:eastAsia="zh-CN"/>
              </w:rPr>
              <w:t>四是抓源头治理，有效消除欠薪隐患。</w:t>
            </w:r>
            <w:r>
              <w:rPr>
                <w:rFonts w:hint="eastAsia" w:ascii="仿宋" w:hAnsi="仿宋" w:eastAsia="仿宋" w:cs="仿宋"/>
                <w:sz w:val="28"/>
                <w:szCs w:val="28"/>
                <w:vertAlign w:val="baseline"/>
                <w:lang w:val="en-US" w:eastAsia="zh-CN"/>
              </w:rPr>
              <w:t>制定《山东省房屋建筑和市政工程施工发包与承包违法行为认定工作指南》，指导各级住建部门严厉打击转包、违法发包等违法违规行为。今年以来，全省共查处违法违规项目132个、企业145家、人员9人，计入建筑市场“黑名单”信息6条。</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0"/>
              <w:jc w:val="both"/>
              <w:textAlignment w:val="auto"/>
              <w:outlineLvl w:val="9"/>
              <w:rPr>
                <w:rFonts w:hint="eastAsia"/>
                <w:sz w:val="28"/>
                <w:szCs w:val="28"/>
                <w:vertAlign w:val="baseline"/>
                <w:lang w:val="en-US" w:eastAsia="zh-CN"/>
              </w:rPr>
            </w:pPr>
            <w:r>
              <w:rPr>
                <w:rFonts w:hint="eastAsia" w:ascii="仿宋" w:hAnsi="仿宋" w:eastAsia="仿宋" w:cs="仿宋"/>
                <w:b/>
                <w:bCs/>
                <w:sz w:val="28"/>
                <w:szCs w:val="28"/>
                <w:vertAlign w:val="baseline"/>
                <w:lang w:val="en-US" w:eastAsia="zh-CN"/>
              </w:rPr>
              <w:t>五是抓投诉处理，全力维护农民工合法权益。</w:t>
            </w:r>
            <w:r>
              <w:rPr>
                <w:rFonts w:hint="eastAsia" w:ascii="仿宋" w:hAnsi="仿宋" w:eastAsia="仿宋" w:cs="仿宋"/>
                <w:sz w:val="28"/>
                <w:szCs w:val="28"/>
                <w:vertAlign w:val="baseline"/>
                <w:lang w:val="en-US" w:eastAsia="zh-CN"/>
              </w:rPr>
              <w:t>建立完善省市县三级欠薪投诉受理机制，2020年上半年全省住建系统共受理拖欠建筑农民工工资案件3962起，涉及欠薪8亿元，涉及农民工3.97万人，已解决3814起、7.7亿元。其中，省级住建部门直接受理75起，涉及金额7291.68万元，涉及约3700名农民工，已全部处理完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255" w:hRule="atLeast"/>
        </w:trPr>
        <w:tc>
          <w:tcPr>
            <w:tcW w:w="1608" w:type="dxa"/>
            <w:vAlign w:val="center"/>
          </w:tcPr>
          <w:p>
            <w:pPr>
              <w:jc w:val="center"/>
              <w:rPr>
                <w:rFonts w:hint="eastAsia"/>
                <w:sz w:val="28"/>
                <w:szCs w:val="28"/>
                <w:vertAlign w:val="baseline"/>
                <w:lang w:val="en-US" w:eastAsia="zh-CN"/>
              </w:rPr>
            </w:pPr>
            <w:r>
              <w:rPr>
                <w:rFonts w:hint="eastAsia"/>
                <w:sz w:val="28"/>
                <w:szCs w:val="28"/>
                <w:vertAlign w:val="baseline"/>
                <w:lang w:val="en-US" w:eastAsia="zh-CN"/>
              </w:rPr>
              <w:t>省部级评选表彰工作机构推荐意见</w:t>
            </w:r>
          </w:p>
        </w:tc>
        <w:tc>
          <w:tcPr>
            <w:tcW w:w="7237" w:type="dxa"/>
            <w:gridSpan w:val="5"/>
            <w:vAlign w:val="top"/>
          </w:tcPr>
          <w:p>
            <w:pPr>
              <w:jc w:val="both"/>
              <w:rPr>
                <w:rFonts w:hint="eastAsia"/>
                <w:sz w:val="28"/>
                <w:szCs w:val="28"/>
                <w:vertAlign w:val="baseline"/>
                <w:lang w:val="en-US" w:eastAsia="zh-CN"/>
              </w:rPr>
            </w:pPr>
          </w:p>
          <w:p>
            <w:pPr>
              <w:jc w:val="both"/>
              <w:rPr>
                <w:rFonts w:hint="eastAsia"/>
                <w:sz w:val="28"/>
                <w:szCs w:val="28"/>
                <w:vertAlign w:val="baseline"/>
                <w:lang w:val="en-US" w:eastAsia="zh-CN"/>
              </w:rPr>
            </w:pPr>
          </w:p>
          <w:p>
            <w:pPr>
              <w:jc w:val="both"/>
              <w:rPr>
                <w:rFonts w:hint="eastAsia"/>
                <w:sz w:val="28"/>
                <w:szCs w:val="28"/>
                <w:vertAlign w:val="baseline"/>
                <w:lang w:val="en-US" w:eastAsia="zh-CN"/>
              </w:rPr>
            </w:pPr>
          </w:p>
          <w:p>
            <w:pPr>
              <w:jc w:val="both"/>
              <w:rPr>
                <w:rFonts w:hint="eastAsia"/>
                <w:sz w:val="28"/>
                <w:szCs w:val="28"/>
                <w:vertAlign w:val="baseline"/>
                <w:lang w:val="en-US" w:eastAsia="zh-CN"/>
              </w:rPr>
            </w:pPr>
          </w:p>
          <w:p>
            <w:pPr>
              <w:jc w:val="both"/>
              <w:rPr>
                <w:rFonts w:hint="eastAsia"/>
                <w:sz w:val="28"/>
                <w:szCs w:val="28"/>
                <w:vertAlign w:val="baseline"/>
                <w:lang w:val="en-US" w:eastAsia="zh-CN"/>
              </w:rPr>
            </w:pPr>
            <w:r>
              <w:rPr>
                <w:rFonts w:hint="eastAsia"/>
                <w:sz w:val="28"/>
                <w:szCs w:val="28"/>
                <w:vertAlign w:val="baseline"/>
                <w:lang w:val="en-US" w:eastAsia="zh-CN"/>
              </w:rPr>
              <w:t xml:space="preserve">                             （盖      章）</w:t>
            </w:r>
          </w:p>
          <w:p>
            <w:pPr>
              <w:jc w:val="both"/>
              <w:rPr>
                <w:rFonts w:hint="eastAsia"/>
                <w:sz w:val="28"/>
                <w:szCs w:val="28"/>
                <w:vertAlign w:val="baseline"/>
                <w:lang w:val="en-US" w:eastAsia="zh-CN"/>
              </w:rPr>
            </w:pPr>
            <w:r>
              <w:rPr>
                <w:rFonts w:hint="eastAsia"/>
                <w:sz w:val="28"/>
                <w:szCs w:val="28"/>
                <w:vertAlign w:val="baseline"/>
                <w:lang w:val="en-US" w:eastAsia="zh-CN"/>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2547" w:hRule="atLeast"/>
        </w:trPr>
        <w:tc>
          <w:tcPr>
            <w:tcW w:w="1608" w:type="dxa"/>
            <w:vAlign w:val="center"/>
          </w:tcPr>
          <w:p>
            <w:pPr>
              <w:jc w:val="center"/>
              <w:rPr>
                <w:rFonts w:hint="eastAsia"/>
                <w:sz w:val="28"/>
                <w:szCs w:val="28"/>
                <w:vertAlign w:val="baseline"/>
                <w:lang w:val="en-US" w:eastAsia="zh-CN"/>
              </w:rPr>
            </w:pPr>
            <w:r>
              <w:rPr>
                <w:rFonts w:hint="eastAsia"/>
                <w:sz w:val="28"/>
                <w:szCs w:val="28"/>
                <w:vertAlign w:val="baseline"/>
                <w:lang w:val="en-US" w:eastAsia="zh-CN"/>
              </w:rPr>
              <w:t>全国评选表彰委员会审核意见</w:t>
            </w:r>
          </w:p>
        </w:tc>
        <w:tc>
          <w:tcPr>
            <w:tcW w:w="7237" w:type="dxa"/>
            <w:gridSpan w:val="5"/>
            <w:vAlign w:val="top"/>
          </w:tcPr>
          <w:p>
            <w:pPr>
              <w:jc w:val="both"/>
              <w:rPr>
                <w:rFonts w:hint="eastAsia"/>
                <w:sz w:val="28"/>
                <w:szCs w:val="28"/>
                <w:vertAlign w:val="baseline"/>
                <w:lang w:val="en-US" w:eastAsia="zh-CN"/>
              </w:rPr>
            </w:pPr>
          </w:p>
          <w:p>
            <w:pPr>
              <w:jc w:val="both"/>
              <w:rPr>
                <w:rFonts w:hint="eastAsia"/>
                <w:sz w:val="28"/>
                <w:szCs w:val="28"/>
                <w:vertAlign w:val="baseline"/>
                <w:lang w:val="en-US" w:eastAsia="zh-CN"/>
              </w:rPr>
            </w:pPr>
          </w:p>
          <w:p>
            <w:pPr>
              <w:jc w:val="both"/>
              <w:rPr>
                <w:rFonts w:hint="eastAsia"/>
                <w:sz w:val="28"/>
                <w:szCs w:val="28"/>
                <w:vertAlign w:val="baseline"/>
                <w:lang w:val="en-US" w:eastAsia="zh-CN"/>
              </w:rPr>
            </w:pPr>
          </w:p>
          <w:p>
            <w:pPr>
              <w:jc w:val="both"/>
              <w:rPr>
                <w:rFonts w:hint="eastAsia"/>
                <w:sz w:val="28"/>
                <w:szCs w:val="28"/>
                <w:vertAlign w:val="baseline"/>
                <w:lang w:val="en-US" w:eastAsia="zh-CN"/>
              </w:rPr>
            </w:pPr>
          </w:p>
          <w:p>
            <w:pPr>
              <w:jc w:val="both"/>
              <w:rPr>
                <w:rFonts w:hint="eastAsia"/>
                <w:sz w:val="28"/>
                <w:szCs w:val="28"/>
                <w:vertAlign w:val="baseline"/>
                <w:lang w:val="en-US" w:eastAsia="zh-CN"/>
              </w:rPr>
            </w:pPr>
            <w:r>
              <w:rPr>
                <w:rFonts w:hint="eastAsia"/>
                <w:sz w:val="28"/>
                <w:szCs w:val="28"/>
                <w:vertAlign w:val="baseline"/>
                <w:lang w:val="en-US" w:eastAsia="zh-CN"/>
              </w:rPr>
              <w:t xml:space="preserve">          （国务院农民工工作领导小组办公室代章）</w:t>
            </w:r>
          </w:p>
          <w:p>
            <w:pPr>
              <w:jc w:val="both"/>
              <w:rPr>
                <w:rFonts w:hint="eastAsia"/>
                <w:sz w:val="28"/>
                <w:szCs w:val="28"/>
                <w:vertAlign w:val="baseline"/>
                <w:lang w:val="en-US" w:eastAsia="zh-CN"/>
              </w:rPr>
            </w:pPr>
            <w:r>
              <w:rPr>
                <w:rFonts w:hint="eastAsia"/>
                <w:sz w:val="28"/>
                <w:szCs w:val="28"/>
                <w:vertAlign w:val="baseline"/>
                <w:lang w:val="en-US" w:eastAsia="zh-CN"/>
              </w:rPr>
              <w:t xml:space="preserve">                        年    月    日</w:t>
            </w:r>
          </w:p>
        </w:tc>
      </w:tr>
    </w:tbl>
    <w:p>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4E2924"/>
    <w:rsid w:val="0D9838A6"/>
    <w:rsid w:val="185F6C30"/>
    <w:rsid w:val="19BF1383"/>
    <w:rsid w:val="1F8413D6"/>
    <w:rsid w:val="21E7485D"/>
    <w:rsid w:val="390D2EB9"/>
    <w:rsid w:val="5B526AA1"/>
    <w:rsid w:val="5DEE6554"/>
    <w:rsid w:val="5E6F6828"/>
    <w:rsid w:val="63F805D2"/>
    <w:rsid w:val="6F494207"/>
    <w:rsid w:val="73636C02"/>
    <w:rsid w:val="738139A3"/>
    <w:rsid w:val="771A35A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138</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guoyj</dc:creator>
  <cp:lastModifiedBy>新风化雨</cp:lastModifiedBy>
  <cp:lastPrinted>2020-10-13T08:35:34Z</cp:lastPrinted>
  <dcterms:modified xsi:type="dcterms:W3CDTF">2020-10-13T08:35:39Z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