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劳动能力鉴定费支出情况表</w:t>
      </w:r>
    </w:p>
    <w:p>
      <w:pPr>
        <w:spacing w:line="56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编制单位（公章）：        时间：               单位：元、人次</w:t>
      </w:r>
    </w:p>
    <w:tbl>
      <w:tblPr>
        <w:tblStyle w:val="5"/>
        <w:tblW w:w="9498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063"/>
        <w:gridCol w:w="1063"/>
        <w:gridCol w:w="1063"/>
        <w:gridCol w:w="1063"/>
        <w:gridCol w:w="1063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项目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本期数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合计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工伤保险基金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一般公共预算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合计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工伤保险基金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一般公共预算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一、劳动能力鉴定费支出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（一）劳动能力鉴定专家劳务费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（二）开展异地鉴定发生的差旅费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（三）向定点医疗机构支付的现场鉴定保障服务费用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（四）劳动能力鉴定工具购置费、鉴定资料印刷费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2" w:firstLineChars="200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其中：鉴定工具购置费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         鉴定资料印刷费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（五）鉴定文书邮寄费鉴定结果公告费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2" w:firstLineChars="200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其中：鉴定文书邮寄费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         鉴定结果公告费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（六）鉴定档案整理服务费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（七）经省级人社部门、财政部门批准的开展劳动能力鉴定所需的其它费用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二、劳动能力鉴定情况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（一）劳动能力鉴定人次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18" w:hanging="618" w:hangingChars="300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其中：工伤事故伤害人员及职业病人员鉴定人次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18" w:hanging="618" w:hangingChars="300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     非因工伤残或因病鉴定人员鉴定人次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（二）聘请鉴定专家人次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其中：中级职称及以下人员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18" w:firstLineChars="300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副高级职称人员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     正高级职称人员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</w:tbl>
    <w:p>
      <w:r>
        <w:rPr>
          <w:rFonts w:hint="eastAsia" w:ascii="仿宋_GB2312" w:hAnsi="仿宋" w:eastAsia="仿宋_GB2312"/>
          <w:sz w:val="21"/>
          <w:szCs w:val="21"/>
        </w:rPr>
        <w:t>鉴定机构填表人签字：                        鉴定机构负责人签字：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71E9"/>
    <w:rsid w:val="624402DD"/>
    <w:rsid w:val="70D971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2018-12-04T02:09:00Z</dcterms:created>
  <dc:creator>user</dc:creator>
  <cp:lastModifiedBy>user</cp:lastModifiedBy>
  <dcterms:modified xsi:type="dcterms:W3CDTF">2018-12-04T02:10:39Z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